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5062F">
      <w:pPr>
        <w:suppressAutoHyphens/>
        <w:spacing w:before="312" w:after="312"/>
        <w:jc w:val="right"/>
        <w:rPr>
          <w:rFonts w:hint="default" w:ascii="新宋体" w:hAnsi="新宋体" w:eastAsia="新宋体" w:cs="新宋体"/>
          <w:b/>
          <w:kern w:val="2"/>
          <w:sz w:val="21"/>
          <w:szCs w:val="21"/>
          <w:lang w:val="en-US" w:eastAsia="zh-CN"/>
        </w:rPr>
      </w:pPr>
      <w:bookmarkStart w:id="6" w:name="_GoBack"/>
      <w:bookmarkEnd w:id="6"/>
      <w:r>
        <w:rPr>
          <w:rFonts w:ascii="黑体" w:hAnsi="华文细黑" w:eastAsia="黑体"/>
          <w:b/>
          <w:color w:val="FF0000"/>
          <w:sz w:val="18"/>
          <w:szCs w:val="18"/>
          <w:lang w:eastAsia="zh-CN"/>
        </w:rPr>
        <w:t>Version：2</w:t>
      </w:r>
      <w:r>
        <w:rPr>
          <w:rFonts w:hint="eastAsia" w:ascii="黑体" w:hAnsi="华文细黑" w:eastAsia="黑体"/>
          <w:b/>
          <w:color w:val="FF0000"/>
          <w:sz w:val="18"/>
          <w:szCs w:val="18"/>
          <w:lang w:eastAsia="zh-CN"/>
        </w:rPr>
        <w:t>50</w:t>
      </w:r>
      <w:r>
        <w:rPr>
          <w:rFonts w:hint="eastAsia" w:ascii="黑体" w:hAnsi="华文细黑" w:eastAsia="黑体"/>
          <w:b/>
          <w:color w:val="FF0000"/>
          <w:sz w:val="18"/>
          <w:szCs w:val="18"/>
          <w:lang w:val="en-US" w:eastAsia="zh-CN"/>
        </w:rPr>
        <w:t>610</w:t>
      </w:r>
    </w:p>
    <w:p w14:paraId="06EB1457">
      <w:pPr>
        <w:tabs>
          <w:tab w:val="left" w:pos="7905"/>
        </w:tabs>
        <w:suppressAutoHyphens/>
        <w:spacing w:before="312" w:after="312"/>
        <w:ind w:firstLine="4006" w:firstLineChars="1900"/>
        <w:jc w:val="both"/>
        <w:rPr>
          <w:rFonts w:hint="eastAsia" w:ascii="新宋体" w:hAnsi="新宋体" w:eastAsia="新宋体" w:cs="新宋体"/>
          <w:b/>
          <w:kern w:val="2"/>
          <w:sz w:val="28"/>
          <w:szCs w:val="28"/>
          <w:lang w:eastAsia="zh-CN"/>
        </w:rPr>
      </w:pPr>
      <w:r>
        <w:rPr>
          <w:rFonts w:hint="eastAsia" w:ascii="新宋体" w:hAnsi="新宋体" w:eastAsia="新宋体" w:cs="新宋体"/>
          <w:b/>
          <w:kern w:val="2"/>
          <w:sz w:val="21"/>
          <w:szCs w:val="21"/>
          <w:lang w:eastAsia="zh-CN"/>
        </w:rPr>
        <w:t xml:space="preserve">                            </w:t>
      </w:r>
      <w:r>
        <w:rPr>
          <w:rFonts w:hint="eastAsia" w:ascii="新宋体" w:hAnsi="新宋体" w:eastAsia="新宋体" w:cs="新宋体"/>
          <w:b/>
          <w:kern w:val="2"/>
          <w:sz w:val="28"/>
          <w:szCs w:val="28"/>
          <w:lang w:eastAsia="zh-CN"/>
        </w:rPr>
        <w:t>NO:</w:t>
      </w:r>
      <w:r>
        <w:rPr>
          <w:rFonts w:hint="eastAsia" w:ascii="新宋体" w:hAnsi="新宋体" w:eastAsia="新宋体" w:cs="新宋体"/>
          <w:b/>
          <w:kern w:val="2"/>
          <w:sz w:val="28"/>
          <w:szCs w:val="28"/>
          <w:u w:val="single"/>
          <w:lang w:eastAsia="zh-CN"/>
        </w:rPr>
        <w:t xml:space="preserve">      </w:t>
      </w:r>
    </w:p>
    <w:p w14:paraId="03780A3A">
      <w:pPr>
        <w:suppressAutoHyphens/>
        <w:jc w:val="center"/>
        <w:rPr>
          <w:rFonts w:hint="eastAsia" w:ascii="新宋体" w:hAnsi="新宋体" w:eastAsia="新宋体" w:cs="新宋体"/>
          <w:b/>
          <w:kern w:val="2"/>
          <w:sz w:val="52"/>
          <w:szCs w:val="52"/>
          <w:lang w:eastAsia="zh-CN"/>
        </w:rPr>
      </w:pPr>
    </w:p>
    <w:p w14:paraId="2F2D0486">
      <w:pPr>
        <w:suppressAutoHyphens/>
        <w:jc w:val="center"/>
        <w:rPr>
          <w:rFonts w:hint="eastAsia" w:ascii="新宋体" w:hAnsi="新宋体" w:eastAsia="新宋体" w:cs="新宋体"/>
          <w:b/>
          <w:kern w:val="2"/>
          <w:sz w:val="52"/>
          <w:szCs w:val="52"/>
          <w:lang w:eastAsia="zh-CN"/>
        </w:rPr>
      </w:pPr>
      <w:r>
        <w:rPr>
          <w:rFonts w:hint="eastAsia" w:ascii="新宋体" w:hAnsi="新宋体" w:eastAsia="新宋体" w:cs="新宋体"/>
          <w:b/>
          <w:kern w:val="2"/>
          <w:sz w:val="52"/>
          <w:szCs w:val="52"/>
          <w:lang w:eastAsia="zh-CN"/>
        </w:rPr>
        <w:t>新生支付有限公司</w:t>
      </w:r>
    </w:p>
    <w:p w14:paraId="6D135E05">
      <w:pPr>
        <w:suppressAutoHyphens/>
        <w:jc w:val="center"/>
        <w:rPr>
          <w:rFonts w:hint="eastAsia" w:ascii="新宋体" w:hAnsi="新宋体" w:eastAsia="新宋体" w:cs="新宋体"/>
          <w:kern w:val="2"/>
          <w:sz w:val="52"/>
          <w:szCs w:val="52"/>
          <w:lang w:eastAsia="zh-CN"/>
        </w:rPr>
      </w:pPr>
      <w:r>
        <w:rPr>
          <w:rFonts w:hint="eastAsia" w:ascii="新宋体" w:hAnsi="新宋体" w:eastAsia="新宋体" w:cs="新宋体"/>
          <w:b/>
          <w:kern w:val="2"/>
          <w:sz w:val="52"/>
          <w:szCs w:val="52"/>
          <w:lang w:eastAsia="zh-CN"/>
        </w:rPr>
        <w:t>跨境支付服务协议</w:t>
      </w:r>
    </w:p>
    <w:p w14:paraId="1B0AE1C0">
      <w:pPr>
        <w:suppressAutoHyphens/>
        <w:rPr>
          <w:rFonts w:hint="eastAsia" w:ascii="新宋体" w:hAnsi="新宋体" w:eastAsia="新宋体" w:cs="新宋体"/>
          <w:kern w:val="2"/>
          <w:sz w:val="21"/>
          <w:szCs w:val="21"/>
          <w:lang w:eastAsia="zh-CN"/>
        </w:rPr>
      </w:pPr>
    </w:p>
    <w:p w14:paraId="0B834703">
      <w:pPr>
        <w:suppressAutoHyphens/>
        <w:spacing w:line="400" w:lineRule="exact"/>
        <w:jc w:val="both"/>
        <w:rPr>
          <w:rFonts w:hint="eastAsia" w:ascii="新宋体" w:hAnsi="新宋体" w:eastAsia="新宋体" w:cs="新宋体"/>
          <w:kern w:val="2"/>
          <w:sz w:val="21"/>
          <w:szCs w:val="21"/>
          <w:lang w:eastAsia="zh-CN"/>
        </w:rPr>
      </w:pPr>
    </w:p>
    <w:p w14:paraId="464803C6">
      <w:pPr>
        <w:suppressAutoHyphens/>
        <w:spacing w:line="400" w:lineRule="exact"/>
        <w:jc w:val="both"/>
        <w:rPr>
          <w:rFonts w:hint="eastAsia" w:ascii="新宋体" w:hAnsi="新宋体" w:eastAsia="新宋体" w:cs="新宋体"/>
          <w:kern w:val="2"/>
          <w:sz w:val="21"/>
          <w:szCs w:val="21"/>
          <w:lang w:eastAsia="zh-CN"/>
        </w:rPr>
      </w:pPr>
    </w:p>
    <w:p w14:paraId="53C599EC">
      <w:pPr>
        <w:suppressAutoHyphens/>
        <w:spacing w:line="400" w:lineRule="exact"/>
        <w:jc w:val="both"/>
        <w:rPr>
          <w:rFonts w:hint="eastAsia" w:ascii="新宋体" w:hAnsi="新宋体" w:eastAsia="新宋体" w:cs="新宋体"/>
          <w:kern w:val="2"/>
          <w:sz w:val="21"/>
          <w:szCs w:val="21"/>
          <w:lang w:eastAsia="zh-CN"/>
        </w:rPr>
      </w:pPr>
    </w:p>
    <w:p w14:paraId="5EAEC827">
      <w:pPr>
        <w:suppressAutoHyphens/>
        <w:spacing w:line="20" w:lineRule="atLeast"/>
        <w:jc w:val="both"/>
        <w:rPr>
          <w:rFonts w:hint="eastAsia" w:ascii="新宋体" w:hAnsi="新宋体" w:eastAsia="新宋体" w:cs="新宋体"/>
          <w:kern w:val="2"/>
          <w:sz w:val="21"/>
          <w:szCs w:val="21"/>
          <w:lang w:eastAsia="zh-CN"/>
        </w:rPr>
      </w:pPr>
    </w:p>
    <w:p w14:paraId="72415CB4">
      <w:pPr>
        <w:suppressAutoHyphens/>
        <w:spacing w:line="20" w:lineRule="atLeast"/>
        <w:jc w:val="both"/>
        <w:rPr>
          <w:rFonts w:hint="eastAsia" w:ascii="新宋体" w:hAnsi="新宋体" w:eastAsia="新宋体" w:cs="新宋体"/>
          <w:kern w:val="2"/>
          <w:sz w:val="21"/>
          <w:szCs w:val="21"/>
          <w:lang w:eastAsia="zh-CN"/>
        </w:rPr>
      </w:pPr>
    </w:p>
    <w:p w14:paraId="508E4BBE">
      <w:pPr>
        <w:suppressAutoHyphens/>
        <w:spacing w:line="20" w:lineRule="atLeast"/>
        <w:jc w:val="both"/>
        <w:rPr>
          <w:rFonts w:hint="eastAsia" w:ascii="新宋体" w:hAnsi="新宋体" w:eastAsia="新宋体" w:cs="新宋体"/>
          <w:kern w:val="2"/>
          <w:sz w:val="21"/>
          <w:szCs w:val="21"/>
          <w:lang w:eastAsia="zh-CN"/>
        </w:rPr>
      </w:pPr>
    </w:p>
    <w:p w14:paraId="7DFC96A8">
      <w:pPr>
        <w:suppressAutoHyphens/>
        <w:spacing w:line="20" w:lineRule="atLeast"/>
        <w:jc w:val="both"/>
        <w:rPr>
          <w:rFonts w:hint="eastAsia" w:ascii="新宋体" w:hAnsi="新宋体" w:eastAsia="新宋体" w:cs="新宋体"/>
          <w:kern w:val="2"/>
          <w:sz w:val="21"/>
          <w:szCs w:val="21"/>
          <w:lang w:eastAsia="zh-CN"/>
        </w:rPr>
      </w:pPr>
    </w:p>
    <w:p w14:paraId="5E2C94AE">
      <w:pPr>
        <w:suppressAutoHyphens/>
        <w:spacing w:line="20" w:lineRule="atLeast"/>
        <w:jc w:val="both"/>
        <w:rPr>
          <w:rFonts w:hint="eastAsia" w:ascii="新宋体" w:hAnsi="新宋体" w:eastAsia="新宋体" w:cs="新宋体"/>
          <w:kern w:val="2"/>
          <w:sz w:val="21"/>
          <w:szCs w:val="21"/>
          <w:lang w:eastAsia="zh-CN"/>
        </w:rPr>
      </w:pPr>
    </w:p>
    <w:p w14:paraId="6F50B58B">
      <w:pPr>
        <w:suppressAutoHyphens/>
        <w:spacing w:line="20" w:lineRule="atLeast"/>
        <w:jc w:val="both"/>
        <w:rPr>
          <w:rFonts w:hint="eastAsia" w:ascii="新宋体" w:hAnsi="新宋体" w:eastAsia="新宋体" w:cs="新宋体"/>
          <w:b/>
          <w:kern w:val="2"/>
          <w:sz w:val="21"/>
          <w:szCs w:val="21"/>
          <w:lang w:eastAsia="zh-CN"/>
        </w:rPr>
      </w:pPr>
    </w:p>
    <w:p w14:paraId="065189A4">
      <w:pPr>
        <w:suppressAutoHyphens/>
        <w:spacing w:line="400" w:lineRule="exact"/>
        <w:jc w:val="both"/>
        <w:rPr>
          <w:rFonts w:hint="eastAsia" w:ascii="新宋体" w:hAnsi="新宋体" w:eastAsia="新宋体" w:cs="新宋体"/>
          <w:kern w:val="2"/>
          <w:sz w:val="21"/>
          <w:szCs w:val="21"/>
          <w:lang w:eastAsia="zh-CN"/>
        </w:rPr>
      </w:pPr>
    </w:p>
    <w:p w14:paraId="0119FAAD">
      <w:pPr>
        <w:suppressAutoHyphens/>
        <w:spacing w:line="360" w:lineRule="auto"/>
        <w:ind w:firstLine="1273" w:firstLineChars="398"/>
        <w:rPr>
          <w:rFonts w:hint="eastAsia" w:ascii="新宋体" w:hAnsi="新宋体" w:eastAsia="新宋体" w:cs="新宋体"/>
          <w:kern w:val="2"/>
          <w:sz w:val="32"/>
          <w:szCs w:val="32"/>
          <w:u w:val="single"/>
          <w:lang w:eastAsia="zh-CN"/>
        </w:rPr>
      </w:pPr>
      <w:r>
        <w:rPr>
          <w:rFonts w:hint="eastAsia" w:ascii="新宋体" w:hAnsi="新宋体" w:eastAsia="新宋体" w:cs="新宋体"/>
          <w:kern w:val="2"/>
          <w:sz w:val="32"/>
          <w:szCs w:val="32"/>
          <w:lang w:eastAsia="zh-CN"/>
        </w:rPr>
        <w:t>甲    方：</w:t>
      </w:r>
      <w:r>
        <w:rPr>
          <w:rFonts w:hint="eastAsia" w:ascii="新宋体" w:hAnsi="新宋体" w:eastAsia="新宋体" w:cs="新宋体"/>
          <w:kern w:val="2"/>
          <w:sz w:val="32"/>
          <w:szCs w:val="32"/>
          <w:u w:val="single"/>
          <w:lang w:eastAsia="zh-CN"/>
        </w:rPr>
        <w:t xml:space="preserve">                          </w:t>
      </w:r>
    </w:p>
    <w:p w14:paraId="5CB264C3">
      <w:pPr>
        <w:suppressAutoHyphens/>
        <w:spacing w:line="360" w:lineRule="auto"/>
        <w:ind w:firstLine="1273" w:firstLineChars="398"/>
        <w:rPr>
          <w:rFonts w:hint="eastAsia" w:ascii="新宋体" w:hAnsi="新宋体" w:eastAsia="新宋体" w:cs="新宋体"/>
          <w:kern w:val="2"/>
          <w:sz w:val="32"/>
          <w:szCs w:val="32"/>
          <w:u w:val="single"/>
          <w:lang w:eastAsia="zh-CN"/>
        </w:rPr>
      </w:pPr>
      <w:r>
        <w:rPr>
          <w:rFonts w:hint="eastAsia" w:ascii="新宋体" w:hAnsi="新宋体" w:eastAsia="新宋体" w:cs="新宋体"/>
          <w:kern w:val="2"/>
          <w:sz w:val="32"/>
          <w:szCs w:val="32"/>
          <w:lang w:eastAsia="zh-CN"/>
        </w:rPr>
        <w:t>乙    方：</w:t>
      </w:r>
      <w:r>
        <w:rPr>
          <w:rFonts w:hint="eastAsia" w:ascii="新宋体" w:hAnsi="新宋体" w:eastAsia="新宋体" w:cs="新宋体"/>
          <w:kern w:val="2"/>
          <w:sz w:val="32"/>
          <w:szCs w:val="32"/>
          <w:u w:val="single"/>
          <w:lang w:eastAsia="zh-CN"/>
        </w:rPr>
        <w:t xml:space="preserve"> 新生支付有限公司         </w:t>
      </w:r>
    </w:p>
    <w:p w14:paraId="42D0633C">
      <w:pPr>
        <w:suppressAutoHyphens/>
        <w:spacing w:line="360" w:lineRule="auto"/>
        <w:ind w:firstLine="1273" w:firstLineChars="398"/>
        <w:rPr>
          <w:rFonts w:hint="eastAsia" w:ascii="新宋体" w:hAnsi="新宋体" w:eastAsia="新宋体" w:cs="新宋体"/>
          <w:kern w:val="2"/>
          <w:sz w:val="32"/>
          <w:szCs w:val="32"/>
          <w:u w:val="single"/>
          <w:lang w:eastAsia="zh-CN"/>
        </w:rPr>
      </w:pPr>
      <w:r>
        <w:rPr>
          <w:rFonts w:hint="eastAsia" w:ascii="新宋体" w:hAnsi="新宋体" w:eastAsia="新宋体" w:cs="新宋体"/>
          <w:kern w:val="2"/>
          <w:sz w:val="32"/>
          <w:szCs w:val="32"/>
          <w:lang w:eastAsia="zh-CN"/>
        </w:rPr>
        <w:t>签约时间：</w:t>
      </w:r>
      <w:r>
        <w:rPr>
          <w:rFonts w:hint="eastAsia" w:ascii="新宋体" w:hAnsi="新宋体" w:eastAsia="新宋体" w:cs="新宋体"/>
          <w:kern w:val="2"/>
          <w:sz w:val="32"/>
          <w:szCs w:val="32"/>
          <w:u w:val="single"/>
          <w:lang w:eastAsia="zh-CN"/>
        </w:rPr>
        <w:t xml:space="preserve">                          </w:t>
      </w:r>
    </w:p>
    <w:p w14:paraId="4F7BC44C">
      <w:pPr>
        <w:spacing w:line="276" w:lineRule="auto"/>
        <w:ind w:firstLine="420" w:firstLineChars="200"/>
        <w:rPr>
          <w:rFonts w:hint="eastAsia" w:ascii="新宋体" w:hAnsi="新宋体" w:eastAsia="新宋体" w:cs="新宋体"/>
          <w:sz w:val="21"/>
          <w:szCs w:val="21"/>
          <w:lang w:eastAsia="zh-CN"/>
        </w:rPr>
      </w:pPr>
    </w:p>
    <w:p w14:paraId="5A2666BB">
      <w:pPr>
        <w:widowControl/>
        <w:rPr>
          <w:rFonts w:hint="eastAsia" w:ascii="新宋体" w:hAnsi="新宋体" w:eastAsia="新宋体" w:cs="新宋体"/>
          <w:sz w:val="21"/>
          <w:szCs w:val="21"/>
          <w:lang w:eastAsia="zh-CN"/>
        </w:rPr>
        <w:sectPr>
          <w:headerReference r:id="rId3" w:type="default"/>
          <w:footerReference r:id="rId4" w:type="default"/>
          <w:pgSz w:w="11900" w:h="16840"/>
          <w:pgMar w:top="1440" w:right="1800" w:bottom="1440" w:left="1800" w:header="0" w:footer="1196" w:gutter="0"/>
          <w:cols w:space="425" w:num="1"/>
          <w:docGrid w:type="lines" w:linePitch="312" w:charSpace="0"/>
        </w:sectPr>
      </w:pPr>
      <w:r>
        <w:rPr>
          <w:rFonts w:hint="eastAsia" w:ascii="新宋体" w:hAnsi="新宋体" w:eastAsia="新宋体" w:cs="新宋体"/>
          <w:sz w:val="21"/>
          <w:szCs w:val="21"/>
          <w:lang w:eastAsia="zh-CN"/>
        </w:rPr>
        <w:br w:type="page"/>
      </w:r>
    </w:p>
    <w:p w14:paraId="0E400CF2">
      <w:pPr>
        <w:spacing w:line="276" w:lineRule="auto"/>
        <w:ind w:firstLine="420" w:firstLineChars="200"/>
        <w:jc w:val="both"/>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本协议含专用条款和通用条款两部分，两部分内容都是协议不可分割的组成部分。双方可以选择就乙方提供的一种或多种产品进行合作，如通用条款与专用条款有不一致之处，以专用条款为准。</w:t>
      </w:r>
    </w:p>
    <w:p w14:paraId="4A3D60CD">
      <w:pPr>
        <w:spacing w:line="276" w:lineRule="auto"/>
        <w:ind w:firstLine="420" w:firstLineChars="200"/>
        <w:jc w:val="both"/>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甲乙双方经友好协商，在平等互利的基础上，依照中华人民共和国法律法规的规定，就乙方为甲方提供跨境支付服务签订本协议，双方具体合作条款如下：</w:t>
      </w:r>
    </w:p>
    <w:p w14:paraId="2FB77DDA">
      <w:pPr>
        <w:widowControl/>
        <w:jc w:val="center"/>
        <w:rPr>
          <w:rFonts w:hint="eastAsia" w:ascii="新宋体" w:hAnsi="新宋体" w:eastAsia="新宋体" w:cs="新宋体"/>
          <w:b/>
          <w:sz w:val="21"/>
          <w:szCs w:val="21"/>
          <w:lang w:eastAsia="zh-CN"/>
        </w:rPr>
      </w:pPr>
      <w:r>
        <w:rPr>
          <w:rFonts w:hint="eastAsia" w:ascii="新宋体" w:hAnsi="新宋体" w:eastAsia="新宋体" w:cs="新宋体"/>
          <w:b/>
          <w:spacing w:val="2"/>
          <w:sz w:val="21"/>
          <w:szCs w:val="21"/>
          <w:lang w:eastAsia="zh-CN"/>
        </w:rPr>
        <w:t>通用条款</w:t>
      </w:r>
    </w:p>
    <w:p w14:paraId="2D63E4D2">
      <w:pPr>
        <w:pStyle w:val="15"/>
        <w:tabs>
          <w:tab w:val="left" w:pos="7828"/>
          <w:tab w:val="left" w:pos="8991"/>
        </w:tabs>
        <w:spacing w:line="276" w:lineRule="auto"/>
        <w:rPr>
          <w:rFonts w:hint="eastAsia" w:ascii="新宋体" w:hAnsi="新宋体" w:eastAsia="新宋体" w:cs="新宋体"/>
          <w:sz w:val="21"/>
          <w:szCs w:val="21"/>
          <w:lang w:eastAsia="zh-CN"/>
        </w:rPr>
      </w:pPr>
    </w:p>
    <w:p w14:paraId="6C4E10D9">
      <w:pPr>
        <w:pStyle w:val="15"/>
        <w:numPr>
          <w:ilvl w:val="0"/>
          <w:numId w:val="1"/>
        </w:numPr>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甲方资质标准</w:t>
      </w:r>
    </w:p>
    <w:p w14:paraId="09E93664">
      <w:pPr>
        <w:pStyle w:val="15"/>
        <w:tabs>
          <w:tab w:val="left" w:pos="7828"/>
          <w:tab w:val="left" w:pos="8991"/>
        </w:tabs>
        <w:spacing w:line="276" w:lineRule="auto"/>
        <w:ind w:firstLine="420" w:firstLineChars="200"/>
        <w:jc w:val="both"/>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（一）甲方须按照乙方要求提供相应准入资质认证资料，并加盖企业公章后提交乙方审核。</w:t>
      </w:r>
    </w:p>
    <w:p w14:paraId="52D860FC">
      <w:pPr>
        <w:pStyle w:val="15"/>
        <w:tabs>
          <w:tab w:val="left" w:pos="7828"/>
          <w:tab w:val="left" w:pos="8991"/>
        </w:tabs>
        <w:spacing w:line="276" w:lineRule="auto"/>
        <w:ind w:firstLine="420" w:firstLineChars="200"/>
        <w:jc w:val="both"/>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（二）甲方依法注册并合法存续，具备签订和履行本协议所需的完全民事权利能力和行为能力；</w:t>
      </w:r>
    </w:p>
    <w:p w14:paraId="520D8866">
      <w:pPr>
        <w:pStyle w:val="15"/>
        <w:tabs>
          <w:tab w:val="left" w:pos="7828"/>
          <w:tab w:val="left" w:pos="8991"/>
        </w:tabs>
        <w:spacing w:line="276" w:lineRule="auto"/>
        <w:ind w:firstLine="420" w:firstLineChars="200"/>
        <w:jc w:val="both"/>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（三）甲方已经或将会取得签订和履行本协议所需的一切有关批准、许可、备案或者登记；</w:t>
      </w:r>
    </w:p>
    <w:p w14:paraId="6C369DA0">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（四）签署和履行本协议系基于甲方的真实意思表示，已经按照企业章程或者其它内部管理文件的要求取得合法、有效的授权，且不违反对甲方有约束力的任何协议、合同和其他法律文件；</w:t>
      </w:r>
    </w:p>
    <w:p w14:paraId="0649E489">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（五）甲方在本合同项下向乙方提供的全部文件、凭证等资料是真实、完整、准确和有效的；</w:t>
      </w:r>
    </w:p>
    <w:p w14:paraId="5BD11457">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（六）甲方未向乙方隐瞒可能影响其财务状况和履约能力的事件。</w:t>
      </w:r>
    </w:p>
    <w:p w14:paraId="7F062CC3">
      <w:pPr>
        <w:pStyle w:val="15"/>
        <w:numPr>
          <w:ilvl w:val="0"/>
          <w:numId w:val="1"/>
        </w:numPr>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合同双方的权利与义务</w:t>
      </w:r>
    </w:p>
    <w:p w14:paraId="2AF028E8">
      <w:pPr>
        <w:pStyle w:val="15"/>
        <w:tabs>
          <w:tab w:val="left" w:pos="7828"/>
          <w:tab w:val="left" w:pos="8991"/>
        </w:tabs>
        <w:spacing w:line="276" w:lineRule="auto"/>
        <w:ind w:firstLine="422" w:firstLineChars="200"/>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（一）甲方的权利及义务</w:t>
      </w:r>
    </w:p>
    <w:p w14:paraId="5A5E0DB1">
      <w:pPr>
        <w:pStyle w:val="15"/>
        <w:numPr>
          <w:ilvl w:val="0"/>
          <w:numId w:val="2"/>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须按照乙方要求填写真实信息、完成实名认证、开通并激活支付账户，并妥善保管账号、密码及安全认证工具。甲方的支付账号、密码是乙方识别甲方身份及指令的唯一标识，乙方严格按照甲方提交的操作指令进行操作，所有基于甲方账户成功登陆后进行的操作，均视为甲方授权的操作行为。因甲方保管、使用、维护账号及密码不当造成的损失，由甲方自行承担相关责任。</w:t>
      </w:r>
    </w:p>
    <w:p w14:paraId="65402F18">
      <w:pPr>
        <w:pStyle w:val="15"/>
        <w:numPr>
          <w:ilvl w:val="0"/>
          <w:numId w:val="2"/>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不得将乙方提供的电子支付服务用于约定网站之外的其他网站，或允许其他网站通过甲方备案网站跳转等途径使用乙方提供的电子支付服务。甲方不得将乙方提供的本协议项下的接口与服务私自转接给第三方使用。</w:t>
      </w:r>
    </w:p>
    <w:p w14:paraId="6A5B85DB">
      <w:pPr>
        <w:pStyle w:val="15"/>
        <w:numPr>
          <w:ilvl w:val="0"/>
          <w:numId w:val="2"/>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甲方按照乙方规定的接口规范、数据格式等技术标准，完成双方信息系统对接，并保证将其电子交易指令准确完整地向乙方发送。如甲方要求标准接口外的额外定制产品及服务，须承担相关开发费用。</w:t>
      </w:r>
    </w:p>
    <w:p w14:paraId="542B101A">
      <w:pPr>
        <w:pStyle w:val="15"/>
        <w:numPr>
          <w:ilvl w:val="0"/>
          <w:numId w:val="2"/>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甲方使用乙方的支付服务时，应确保自身发出支付指令的合法性、真实性、有效性和完整性。乙方按甲方支付指令完成操作后，相关资金的任何风险和责任由甲方承担。</w:t>
      </w:r>
    </w:p>
    <w:p w14:paraId="1315A4B8">
      <w:pPr>
        <w:pStyle w:val="15"/>
        <w:numPr>
          <w:ilvl w:val="0"/>
          <w:numId w:val="2"/>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如甲方发生企业法人、经营范围、注册资本、注册地址等重要资质信息变更时，须在变更后5个工作日以书面（加盖企业公章）形式通知乙方，并按乙方要求提供相应最新资质。甲方变更以上信息未及时通知乙方的，乙方有权立即终止本协议，由此造成的后果及损失由甲方自行承担。</w:t>
      </w:r>
    </w:p>
    <w:p w14:paraId="405CD034">
      <w:pPr>
        <w:pStyle w:val="15"/>
        <w:numPr>
          <w:ilvl w:val="0"/>
          <w:numId w:val="2"/>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如甲方业务联系人、通讯地址、约定域名/网址等相关信息发生变更，应在变更后5个工作日内将变更内容告知乙方业务人员。如涉及结算账号变更，甲方应以书面形式向乙方提出变更申请，乙方以接到甲方书面通知时间为准按更新账号进行结算。如因甲方未及时将变更申请提交乙方导致的款项结算延迟、结算账号错误及相关信息无法按时送达等情形，由此造成的相关损失由甲方自行承担。</w:t>
      </w:r>
    </w:p>
    <w:p w14:paraId="43AC3EEC">
      <w:pPr>
        <w:ind w:firstLine="417" w:firstLineChars="199"/>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7.甲方不得利用乙方提供的服务从事以及涉嫌参与洗钱、恐怖融资、博彩、色情、 毒品、走私、诈骗、销售管制品、违禁品、假冒产品等违法、违规行为；以及销售不被市场普遍接受、不可对价或定价机制不清晰、交易内容涉及风险隐患较大的商品等违反双方约定的销售活动。因甲方网站信息违背真实性、完整性、时效性而引起的投诉、纠纷，以及所造成的损失及后果，均由甲方自行承担。在发生用户否认交易的情况时，由甲方负责受理用户投诉及用户资金损失的先行赔付责任。</w:t>
      </w:r>
    </w:p>
    <w:p w14:paraId="41F6AA04">
      <w:pPr>
        <w:pStyle w:val="15"/>
        <w:numPr>
          <w:ilvl w:val="255"/>
          <w:numId w:val="0"/>
        </w:num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8.若交易过程中出现涉嫌洗钱、恐怖融资等违法犯罪行为，或发生用户信息被盗、网络诈骗等用户权益遭到恶意侵害的风险事件，需要协助监管部门查明原因或采取强制措施的，甲方有义务在乙方规定时限内按照监管部门指示提供所涉及客户资料、交易信息等材料，并配合乙方或监管部门暂停为可疑账户提供服务，否则乙方有权采取暂缓清结算、止付所涉及交易款项等措施，并有权追索因甲方拒不配合引起的一切损失及后果。</w:t>
      </w:r>
    </w:p>
    <w:p w14:paraId="2EE543D4">
      <w:pPr>
        <w:pStyle w:val="15"/>
        <w:numPr>
          <w:ilvl w:val="255"/>
          <w:numId w:val="0"/>
        </w:num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9.甲方（包括甲方雇员、其合作机构及雇员等）不得截取、私自留存或向第三方泄露客户的银行账户信息；不得以伪造、虚假的客户账户信息向乙方发出支付请求；不得以用户名义提交订单或发出任何指令，否则因此而引起的损失及后果由甲方自行承担。</w:t>
      </w:r>
    </w:p>
    <w:p w14:paraId="2C67F6D5">
      <w:pPr>
        <w:pStyle w:val="15"/>
        <w:numPr>
          <w:ilvl w:val="255"/>
          <w:numId w:val="0"/>
        </w:num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10.甲方须在防范盗用账户信息、网络诈骗、洗钱等各类交易风险方面加强管理，同时乙方有权要求甲方在其网站通过设置交易限额等措施控制风险事件的发生。若甲方网站发生风险事件，乙方可依据风险严重程度要求甲方进行整改或及时采取补救措施。若甲方未能及时整改或采取有效措施，乙方有权单方面解除合同，并要求甲方赔偿由此引起的一切损失。</w:t>
      </w:r>
    </w:p>
    <w:p w14:paraId="2B75028D">
      <w:pPr>
        <w:pStyle w:val="15"/>
        <w:numPr>
          <w:ilvl w:val="255"/>
          <w:numId w:val="0"/>
        </w:num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11.甲方不得对乙方的支付服务系统和程序采取反向工程手段进行破解，不得对上述系统和程序（包括但不限于源程序、目标程序、软件文档、运行在本地电脑内存中的数据、客户端至服务器端的数据、服务器数据等）进行复制、修改、编译、整合和篡改，不得修改或增加乙方支付服务系统的原有功能。</w:t>
      </w:r>
    </w:p>
    <w:p w14:paraId="42EFA567">
      <w:pPr>
        <w:pStyle w:val="15"/>
        <w:numPr>
          <w:ilvl w:val="255"/>
          <w:numId w:val="0"/>
        </w:num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12.甲方须对交易信息、交易单据、通讯记录等交易材料、数据留存</w:t>
      </w:r>
      <w:r>
        <w:rPr>
          <w:rFonts w:hint="eastAsia" w:ascii="新宋体" w:hAnsi="新宋体" w:eastAsia="新宋体" w:cs="新宋体"/>
          <w:color w:val="000000" w:themeColor="text1"/>
          <w:sz w:val="21"/>
          <w:szCs w:val="21"/>
          <w:lang w:eastAsia="zh-CN"/>
          <w14:textFill>
            <w14:solidFill>
              <w14:schemeClr w14:val="tx1"/>
            </w14:solidFill>
          </w14:textFill>
        </w:rPr>
        <w:t>五年</w:t>
      </w:r>
      <w:r>
        <w:rPr>
          <w:rFonts w:hint="eastAsia" w:ascii="新宋体" w:hAnsi="新宋体" w:eastAsia="新宋体" w:cs="新宋体"/>
          <w:sz w:val="21"/>
          <w:szCs w:val="21"/>
          <w:lang w:eastAsia="zh-CN"/>
        </w:rPr>
        <w:t>以上，在监管部门调查时，甲方有义务按要求提供上述材料、数据。甲方承诺，乙方有权在必要时将其交易信息提供给乙方的合作金融机构或监管部门进行核查。</w:t>
      </w:r>
    </w:p>
    <w:p w14:paraId="7EA93383">
      <w:pPr>
        <w:pStyle w:val="15"/>
        <w:numPr>
          <w:ilvl w:val="255"/>
          <w:numId w:val="0"/>
        </w:num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 xml:space="preserve">13.甲方如将乙方服务用于电子商务网站运营，须在甲方网站的支付页面（网上收银台）的显著位置嵌入乙方提供的 LOGO 图形链接及乙方提供的乙方网站上的用户帮助页面的链接，并标注甲方的具体联系方式；若甲方未标注其详细、准确的联系方式，发生交易纠纷时，乙方有权将甲方的联系方式告知甲方用户。       </w:t>
      </w:r>
    </w:p>
    <w:p w14:paraId="3C2A134A">
      <w:pPr>
        <w:ind w:firstLine="417" w:firstLineChars="199"/>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14.甲方不得利用乙方的支付服务从事任何非法行为，不得违反中国法律、法规、规章、规范性文件及政策，不得侵犯他人的合法权益，不得实施任何违反公序良俗和诚实信用的行为。如甲方是中国大陆地区以外的特约商户，还需同时遵守其所属国家或地区的法律。</w:t>
      </w:r>
    </w:p>
    <w:p w14:paraId="3532CA89">
      <w:pPr>
        <w:ind w:firstLine="417" w:firstLineChars="199"/>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15.甲方同意乙方有权依据相关法律法规，按照监管部门/乙方合作银行或机构的要求，将其相关交易信息提供给监管部门/乙方合作银行或机构进行核查，同时甲方同意乙方依照乙方境外合作机构或海外银行的监管要求提供相关交易信息及必要数据出境工作；甲方承诺严格履行监管机构要求的反洗钱义务，对用户身份按监管要求进行识别，并与乙方共享该用户身份识别的相关资料，协助乙方履行反洗钱相关义务。</w:t>
      </w:r>
    </w:p>
    <w:p w14:paraId="7890BCA3">
      <w:pPr>
        <w:ind w:firstLine="417" w:firstLineChars="199"/>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16.甲方有义务向其客户披露本服务涉及的资金账户之间的资金划拨等网上交易所涉及的相关手续和业务规则；在本协议有效期内，甲方应在其前端销售平台合适位置展示乙方与甲方用户的《新生支付有限公司跨境支付服务协议》；甲方应确保在用户通过其前端销售平台使用乙方提供的网络支付服务时，用户已知悉并签署《新生支付有限公司跨境支付服务协议》。如甲方用户系通过与甲方存在合作的第三方的平台完成交易，甲方应确保与其用户就其业务服务订有相关协议。</w:t>
      </w:r>
    </w:p>
    <w:p w14:paraId="63A1B55F">
      <w:pPr>
        <w:ind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17.乙方仅作为支付通道平台，向甲方提供支付相关服务，不涉及甲方与其客户或供应商之间的商品、服务等实质性交易内容。根据交易实质如涉及甲方代境外企业履行代扣代缴义务，则甲方为所涉交易中境外企业业务税款的代扣代缴义务人，需按照相关税收法律法规严格履行代扣代缴义务，乙方对此不承担任何责任和义务。若甲方因不予履行或怠于履行税收代扣代缴义务，对乙方造成损失或不良影响的，乙方有权向甲方进行追偿并要求甲方承担责任。</w:t>
      </w:r>
    </w:p>
    <w:p w14:paraId="4DB7D69A">
      <w:pPr>
        <w:pStyle w:val="15"/>
        <w:tabs>
          <w:tab w:val="left" w:pos="7828"/>
          <w:tab w:val="left" w:pos="8991"/>
        </w:tabs>
        <w:spacing w:line="276" w:lineRule="auto"/>
        <w:ind w:firstLine="422" w:firstLineChars="200"/>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（二）乙方的权利和义务</w:t>
      </w:r>
    </w:p>
    <w:p w14:paraId="20B0AAAA">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乙方有义务向甲方提供必要的数据传输接口与文档；协助甲方安装电子支付服务接口，提供安全、稳定、便捷的电子支付服务；并在甲方使用支付系统过程中出现问题时及时进行技术支援与维护。</w:t>
      </w:r>
    </w:p>
    <w:p w14:paraId="348FF1A2">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乙方将根据其支付系统或银行系统升级、维护、检修等需要，做出暂停电子支付服务的安排。维护实施前，乙方将在其网站对所安排事项及维护期限等内容进行公示。</w:t>
      </w:r>
    </w:p>
    <w:p w14:paraId="11359E55">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若甲方或甲方客户违反乙方服务规定条款，乙方有权拒绝为其提供服务，且乙方无需向甲方及其客户承担任何责任。</w:t>
      </w:r>
    </w:p>
    <w:p w14:paraId="5107EB7C">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乙方有义务解决因其电子支付服务出现问题而导致的投诉与纠纷。</w:t>
      </w:r>
    </w:p>
    <w:p w14:paraId="37E1CE43">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乙方对甲方身份资料及支付信息负有保密义务，乙方不得利用甲方的上述信息从事超出法律许可及未经甲方授权的活动。</w:t>
      </w:r>
    </w:p>
    <w:p w14:paraId="6CB2AE7D">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color w:val="000000" w:themeColor="text1"/>
          <w:sz w:val="21"/>
          <w:szCs w:val="21"/>
          <w:lang w:eastAsia="zh-CN"/>
          <w14:textFill>
            <w14:solidFill>
              <w14:schemeClr w14:val="tx1"/>
            </w14:solidFill>
          </w14:textFill>
        </w:rPr>
        <w:t>乙方需按照国内外监管机构及法律法规的要求，保护甲乙双方合作期内获得的甲方身份基本信息、支付业务信息、会计档案等资料的安全，防止其被篡改、灭失、损毁或泄露。</w:t>
      </w:r>
    </w:p>
    <w:p w14:paraId="1DDCDC8F">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乙方因下列情况未能成功提供电子支付服务的，不承担相应责任：</w:t>
      </w:r>
    </w:p>
    <w:p w14:paraId="3D062A33">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1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⑴</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非乙方原因造成的，对甲方发出的电子支付指令未能成功接收的情况；</w:t>
      </w:r>
    </w:p>
    <w:p w14:paraId="308DAE9C">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2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⑵</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支付指令信息不明，存在乱码、内容缺失等情形；</w:t>
      </w:r>
    </w:p>
    <w:p w14:paraId="46706678">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3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⑶</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甲方客户的银行账户余额或信用额度不足以支付应付金额的情形；</w:t>
      </w:r>
    </w:p>
    <w:p w14:paraId="6117F497">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bookmarkStart w:id="0" w:name="OLE_LINK3"/>
      <w:bookmarkStart w:id="1" w:name="OLE_LINK4"/>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4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⑷</w:t>
      </w:r>
      <w:r>
        <w:rPr>
          <w:rFonts w:hint="eastAsia" w:ascii="新宋体" w:hAnsi="新宋体" w:eastAsia="新宋体" w:cs="新宋体"/>
          <w:sz w:val="21"/>
          <w:szCs w:val="21"/>
          <w:lang w:eastAsia="zh-CN"/>
        </w:rPr>
        <w:fldChar w:fldCharType="end"/>
      </w:r>
      <w:bookmarkEnd w:id="0"/>
      <w:bookmarkEnd w:id="1"/>
      <w:r>
        <w:rPr>
          <w:rFonts w:hint="eastAsia" w:ascii="新宋体" w:hAnsi="新宋体" w:eastAsia="新宋体" w:cs="新宋体"/>
          <w:sz w:val="21"/>
          <w:szCs w:val="21"/>
          <w:lang w:eastAsia="zh-CN"/>
        </w:rPr>
        <w:t>甲方客户银行账户状态异常，导致支付无法完成的情形；</w:t>
      </w:r>
    </w:p>
    <w:p w14:paraId="6F0F2D61">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5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⑸</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因银行系统异常、网络故障等原因导致支付无法完成的情形；</w:t>
      </w:r>
    </w:p>
    <w:p w14:paraId="344CCAFD">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6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⑹</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其他非乙方原因所导致的支付无法完成的情况。</w:t>
      </w:r>
    </w:p>
    <w:p w14:paraId="0114235B">
      <w:pPr>
        <w:pStyle w:val="15"/>
        <w:numPr>
          <w:ilvl w:val="0"/>
          <w:numId w:val="3"/>
        </w:numPr>
        <w:tabs>
          <w:tab w:val="left" w:pos="7828"/>
          <w:tab w:val="left" w:pos="8991"/>
        </w:tabs>
        <w:spacing w:line="276" w:lineRule="auto"/>
        <w:ind w:left="0" w:firstLine="567"/>
        <w:rPr>
          <w:rFonts w:hint="eastAsia" w:ascii="新宋体" w:hAnsi="新宋体" w:eastAsia="新宋体" w:cs="新宋体"/>
          <w:color w:val="000000" w:themeColor="text1"/>
          <w:sz w:val="21"/>
          <w:szCs w:val="21"/>
          <w:lang w:eastAsia="zh-CN"/>
          <w14:textFill>
            <w14:solidFill>
              <w14:schemeClr w14:val="tx1"/>
            </w14:solidFill>
          </w14:textFill>
        </w:rPr>
      </w:pPr>
      <w:r>
        <w:rPr>
          <w:rFonts w:hint="eastAsia" w:ascii="新宋体" w:hAnsi="新宋体" w:eastAsia="新宋体" w:cs="新宋体"/>
          <w:color w:val="000000" w:themeColor="text1"/>
          <w:sz w:val="21"/>
          <w:szCs w:val="21"/>
          <w:lang w:eastAsia="zh-CN"/>
          <w14:textFill>
            <w14:solidFill>
              <w14:schemeClr w14:val="tx1"/>
            </w14:solidFill>
          </w14:textFill>
        </w:rPr>
        <w:t>乙方有权根据监管部门要求，对甲方所开展业务交易的真实性进行核实，甲方须积极配合,提供与业务有关的交易信息，包括但不限于交易双方身份、账户及银行信息、交易项目详细内容等，并由乙方对上述信息进行核实。如发现甲方涉嫌虚假交易操作，乙方有权冻结甲方待处理交易款项，并暂停为甲方提供相关服务。</w:t>
      </w:r>
    </w:p>
    <w:p w14:paraId="7C9D0C8F">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具有对可疑、非法与违规交易等风险类交易的独立判断权。当出现下列情况，乙方有权对甲方采取冻结账户、调整限额、暂停服务、止付相关交易款项等限制性措施；对于所造成的乙方损失，乙方有权向甲方进行追偿：</w:t>
      </w:r>
    </w:p>
    <w:p w14:paraId="2FF7B420">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bookmarkStart w:id="2" w:name="OLE_LINK9"/>
      <w:bookmarkStart w:id="3" w:name="OLE_LINK8"/>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1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⑴</w:t>
      </w:r>
      <w:r>
        <w:rPr>
          <w:rFonts w:hint="eastAsia" w:ascii="新宋体" w:hAnsi="新宋体" w:eastAsia="新宋体" w:cs="新宋体"/>
          <w:sz w:val="21"/>
          <w:szCs w:val="21"/>
          <w:lang w:eastAsia="zh-CN"/>
        </w:rPr>
        <w:fldChar w:fldCharType="end"/>
      </w:r>
      <w:bookmarkEnd w:id="2"/>
      <w:bookmarkEnd w:id="3"/>
      <w:r>
        <w:rPr>
          <w:rFonts w:hint="eastAsia" w:ascii="新宋体" w:hAnsi="新宋体" w:eastAsia="新宋体" w:cs="新宋体"/>
          <w:sz w:val="21"/>
          <w:szCs w:val="21"/>
          <w:lang w:eastAsia="zh-CN"/>
        </w:rPr>
        <w:t>乙方根据风险防范机制判定甲方存在可疑、非法与违规交易等风险类交易的情况；</w:t>
      </w:r>
    </w:p>
    <w:p w14:paraId="4CC5FD7A">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2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⑵</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银行账户持有人向甲方、乙方或开户银行提出异议，认为存在非本人行为或非经本人授权操作行为的情形；</w:t>
      </w:r>
    </w:p>
    <w:p w14:paraId="629A0098">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3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⑶</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乙方应监管部门或银行风控要求强制中止甲方交易的情形；</w:t>
      </w:r>
    </w:p>
    <w:p w14:paraId="4915A7CD">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4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⑷</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乙方认为可能存在风险隐患的其他情况。</w:t>
      </w:r>
    </w:p>
    <w:p w14:paraId="5ED3427B">
      <w:pPr>
        <w:pStyle w:val="15"/>
        <w:numPr>
          <w:ilvl w:val="0"/>
          <w:numId w:val="3"/>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若甲方对乙方的账务处理存在疑议，须以书面形式向乙方申请查询，乙方在收到甲方书面查询申请后的5个工作日内予以回复。</w:t>
      </w:r>
    </w:p>
    <w:p w14:paraId="69AA4ECF">
      <w:pPr>
        <w:pStyle w:val="15"/>
        <w:numPr>
          <w:ilvl w:val="0"/>
          <w:numId w:val="3"/>
        </w:numPr>
        <w:tabs>
          <w:tab w:val="left" w:pos="7828"/>
          <w:tab w:val="left" w:pos="8991"/>
        </w:tabs>
        <w:spacing w:line="276" w:lineRule="auto"/>
        <w:ind w:left="0" w:firstLine="567"/>
        <w:rPr>
          <w:rFonts w:hint="eastAsia" w:ascii="新宋体" w:hAnsi="新宋体" w:eastAsia="新宋体" w:cs="新宋体"/>
          <w:color w:val="000000" w:themeColor="text1"/>
          <w:sz w:val="21"/>
          <w:szCs w:val="21"/>
          <w:lang w:eastAsia="zh-CN"/>
          <w14:textFill>
            <w14:solidFill>
              <w14:schemeClr w14:val="tx1"/>
            </w14:solidFill>
          </w14:textFill>
        </w:rPr>
      </w:pPr>
      <w:r>
        <w:rPr>
          <w:rFonts w:hint="eastAsia" w:ascii="新宋体" w:hAnsi="新宋体" w:eastAsia="新宋体" w:cs="新宋体"/>
          <w:color w:val="000000" w:themeColor="text1"/>
          <w:sz w:val="21"/>
          <w:szCs w:val="21"/>
          <w:lang w:eastAsia="zh-CN"/>
          <w14:textFill>
            <w14:solidFill>
              <w14:schemeClr w14:val="tx1"/>
            </w14:solidFill>
          </w14:textFill>
        </w:rPr>
        <w:t>甲方有义务对交易主体进行实名认证，乙方有权根据监管部门要求，对交易主体实名信息进行核实，并对照风控重点“关注名单”进行审核，凡未通过实名验证或已被列入“关注名单”的用户，乙方有权拒绝为其提供服务。</w:t>
      </w:r>
    </w:p>
    <w:p w14:paraId="459E4B24">
      <w:pPr>
        <w:pStyle w:val="15"/>
        <w:numPr>
          <w:ilvl w:val="0"/>
          <w:numId w:val="3"/>
        </w:numPr>
        <w:tabs>
          <w:tab w:val="left" w:pos="7828"/>
          <w:tab w:val="left" w:pos="8991"/>
        </w:tabs>
        <w:spacing w:line="276" w:lineRule="auto"/>
        <w:ind w:left="0" w:firstLine="567"/>
        <w:rPr>
          <w:rFonts w:hint="eastAsia" w:ascii="新宋体" w:hAnsi="新宋体" w:eastAsia="新宋体" w:cs="新宋体"/>
          <w:color w:val="000000" w:themeColor="text1"/>
          <w:sz w:val="21"/>
          <w:szCs w:val="21"/>
          <w:lang w:eastAsia="zh-CN"/>
          <w14:textFill>
            <w14:solidFill>
              <w14:schemeClr w14:val="tx1"/>
            </w14:solidFill>
          </w14:textFill>
        </w:rPr>
      </w:pPr>
      <w:r>
        <w:rPr>
          <w:rFonts w:hint="eastAsia" w:ascii="新宋体" w:hAnsi="新宋体" w:eastAsia="新宋体" w:cs="新宋体"/>
          <w:color w:val="000000" w:themeColor="text1"/>
          <w:sz w:val="21"/>
          <w:szCs w:val="21"/>
          <w:lang w:eastAsia="zh-CN"/>
          <w14:textFill>
            <w14:solidFill>
              <w14:schemeClr w14:val="tx1"/>
            </w14:solidFill>
          </w14:textFill>
        </w:rPr>
        <w:t>本协议中涉及乙方对甲方的消费者、用户或第三方的服务, 是乙方履行对甲方义务的行为, 并不构成对甲方的消费者、用户或第三方的任何承诺, 甲方的消费者、用户或第三方不因此而获得对乙方的直接请求权。</w:t>
      </w:r>
    </w:p>
    <w:p w14:paraId="64B58C27">
      <w:pPr>
        <w:pStyle w:val="15"/>
        <w:numPr>
          <w:ilvl w:val="0"/>
          <w:numId w:val="1"/>
        </w:numPr>
        <w:tabs>
          <w:tab w:val="left" w:pos="7828"/>
          <w:tab w:val="left" w:pos="8991"/>
        </w:tabs>
        <w:spacing w:line="276" w:lineRule="auto"/>
        <w:rPr>
          <w:rFonts w:hint="eastAsia" w:ascii="新宋体" w:hAnsi="新宋体" w:eastAsia="新宋体" w:cs="新宋体"/>
          <w:b/>
          <w:color w:val="000000" w:themeColor="text1"/>
          <w:sz w:val="21"/>
          <w:szCs w:val="21"/>
          <w:lang w:eastAsia="zh-CN"/>
          <w14:textFill>
            <w14:solidFill>
              <w14:schemeClr w14:val="tx1"/>
            </w14:solidFill>
          </w14:textFill>
        </w:rPr>
      </w:pPr>
      <w:r>
        <w:rPr>
          <w:rFonts w:hint="eastAsia" w:ascii="新宋体" w:hAnsi="新宋体" w:eastAsia="新宋体" w:cs="新宋体"/>
          <w:b/>
          <w:color w:val="000000" w:themeColor="text1"/>
          <w:sz w:val="21"/>
          <w:szCs w:val="21"/>
          <w:lang w:eastAsia="zh-CN"/>
          <w14:textFill>
            <w14:solidFill>
              <w14:schemeClr w14:val="tx1"/>
            </w14:solidFill>
          </w14:textFill>
        </w:rPr>
        <w:t>退款处理</w:t>
      </w:r>
    </w:p>
    <w:p w14:paraId="23CE9979">
      <w:pPr>
        <w:pStyle w:val="15"/>
        <w:numPr>
          <w:ilvl w:val="0"/>
          <w:numId w:val="4"/>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甲方对使用乙方电子支付服务付款的客户进行退款的，应当通过原收款路径进行退款，此部分资金在乙方存放期间不产生利息。</w:t>
      </w:r>
    </w:p>
    <w:p w14:paraId="47E2809D">
      <w:pPr>
        <w:pStyle w:val="15"/>
        <w:numPr>
          <w:ilvl w:val="0"/>
          <w:numId w:val="4"/>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因甲方或甲方用户原因发起退款时，因人民币支付交易所产生的手续费由甲方自行承担；如因汇率变动导致的一切退款损失由甲方自行承担；因退款所造成的所有跨境资金收付费用由甲方自行承担。乙方有权在业务资金中扣除上述退款相关费用，同时将相关费用明细告知甲方。</w:t>
      </w:r>
    </w:p>
    <w:p w14:paraId="576CCFB7">
      <w:pPr>
        <w:pStyle w:val="15"/>
        <w:numPr>
          <w:ilvl w:val="0"/>
          <w:numId w:val="4"/>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为了防止客户利用虚假交易、撤销交易等方式套取银行卡资金，甲方不得进行线下退款（如向客户其他账户内汇入资金或支付现金等），若发生特殊情况不能按原收款路径退回的，经乙方充分核实客户身份后可退回至客户其他账户，但原交易手续费不予退回。</w:t>
      </w:r>
    </w:p>
    <w:p w14:paraId="046980AB">
      <w:pPr>
        <w:pStyle w:val="15"/>
        <w:numPr>
          <w:ilvl w:val="0"/>
          <w:numId w:val="4"/>
        </w:numPr>
        <w:tabs>
          <w:tab w:val="left" w:pos="7828"/>
          <w:tab w:val="left" w:pos="8991"/>
        </w:tabs>
        <w:spacing w:line="276" w:lineRule="auto"/>
        <w:ind w:left="0" w:firstLine="56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向乙方提出退款申请的，应向乙方提供足额退款金额或由乙方从后续交易款项中扣划足额的退款金额。因甲方未向乙方提供足额退款金额或后续交易款项不足以支付退款金额致使乙方无法进行退款而产生的一切纠纷及损失由甲方自行承担。</w:t>
      </w:r>
    </w:p>
    <w:p w14:paraId="5E79C3C9">
      <w:pPr>
        <w:pStyle w:val="15"/>
        <w:numPr>
          <w:ilvl w:val="0"/>
          <w:numId w:val="4"/>
        </w:numPr>
        <w:tabs>
          <w:tab w:val="left" w:pos="7828"/>
          <w:tab w:val="left" w:pos="8991"/>
        </w:tabs>
        <w:spacing w:line="276" w:lineRule="auto"/>
        <w:ind w:left="0" w:firstLine="560"/>
        <w:rPr>
          <w:rFonts w:hint="eastAsia" w:ascii="新宋体" w:hAnsi="新宋体" w:eastAsia="新宋体" w:cs="新宋体"/>
          <w:sz w:val="21"/>
          <w:szCs w:val="21"/>
          <w:lang w:eastAsia="zh-CN"/>
        </w:rPr>
      </w:pPr>
      <w:bookmarkStart w:id="4" w:name="OLE_LINK6"/>
      <w:bookmarkStart w:id="5" w:name="OLE_LINK5"/>
      <w:r>
        <w:rPr>
          <w:rFonts w:hint="eastAsia" w:ascii="新宋体" w:hAnsi="新宋体" w:eastAsia="新宋体" w:cs="新宋体"/>
          <w:sz w:val="21"/>
          <w:szCs w:val="21"/>
          <w:lang w:eastAsia="zh-CN"/>
        </w:rPr>
        <w:t>乙方接到投诉后，如发生以下几种情况，乙方有权采取强制退款措施将原交易款项退回：</w:t>
      </w:r>
    </w:p>
    <w:bookmarkEnd w:id="4"/>
    <w:bookmarkEnd w:id="5"/>
    <w:p w14:paraId="0058E18C">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1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⑴</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无法与甲方取得联系的；</w:t>
      </w:r>
    </w:p>
    <w:p w14:paraId="6CD15E12">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2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⑵</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甲方未按监管机构要求提供交易资料的；</w:t>
      </w:r>
    </w:p>
    <w:p w14:paraId="3712CACF">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3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⑶</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甲方在合理期限内未能解决纠纷的；</w:t>
      </w:r>
    </w:p>
    <w:p w14:paraId="66FB2936">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4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⑷</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交易存在明显风险问题的；</w:t>
      </w:r>
    </w:p>
    <w:p w14:paraId="4C68D76E">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fldChar w:fldCharType="begin"/>
      </w:r>
      <w:r>
        <w:rPr>
          <w:rFonts w:hint="eastAsia" w:ascii="新宋体" w:hAnsi="新宋体" w:eastAsia="新宋体" w:cs="新宋体"/>
          <w:sz w:val="21"/>
          <w:szCs w:val="21"/>
          <w:lang w:eastAsia="zh-CN"/>
        </w:rPr>
        <w:instrText xml:space="preserve"> = 5 \* GB2 </w:instrText>
      </w:r>
      <w:r>
        <w:rPr>
          <w:rFonts w:hint="eastAsia" w:ascii="新宋体" w:hAnsi="新宋体" w:eastAsia="新宋体" w:cs="新宋体"/>
          <w:sz w:val="21"/>
          <w:szCs w:val="21"/>
          <w:lang w:eastAsia="zh-CN"/>
        </w:rPr>
        <w:fldChar w:fldCharType="separate"/>
      </w:r>
      <w:r>
        <w:rPr>
          <w:rFonts w:hint="eastAsia" w:ascii="新宋体" w:hAnsi="新宋体" w:eastAsia="新宋体" w:cs="新宋体"/>
          <w:sz w:val="21"/>
          <w:szCs w:val="21"/>
          <w:lang w:eastAsia="zh-CN"/>
        </w:rPr>
        <w:t>⑸</w:t>
      </w:r>
      <w:r>
        <w:rPr>
          <w:rFonts w:hint="eastAsia" w:ascii="新宋体" w:hAnsi="新宋体" w:eastAsia="新宋体" w:cs="新宋体"/>
          <w:sz w:val="21"/>
          <w:szCs w:val="21"/>
          <w:lang w:eastAsia="zh-CN"/>
        </w:rPr>
        <w:fldChar w:fldCharType="end"/>
      </w:r>
      <w:r>
        <w:rPr>
          <w:rFonts w:hint="eastAsia" w:ascii="新宋体" w:hAnsi="新宋体" w:eastAsia="新宋体" w:cs="新宋体"/>
          <w:sz w:val="21"/>
          <w:szCs w:val="21"/>
          <w:lang w:eastAsia="zh-CN"/>
        </w:rPr>
        <w:t>其他乙方认为存在交易风险的情况。</w:t>
      </w:r>
    </w:p>
    <w:p w14:paraId="6D1D767E">
      <w:pPr>
        <w:pStyle w:val="15"/>
        <w:numPr>
          <w:ilvl w:val="0"/>
          <w:numId w:val="1"/>
        </w:numPr>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风险保证金</w:t>
      </w:r>
    </w:p>
    <w:p w14:paraId="1E57B051">
      <w:pPr>
        <w:pStyle w:val="15"/>
        <w:numPr>
          <w:ilvl w:val="0"/>
          <w:numId w:val="5"/>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甲乙双方约定，甲方如需缴纳风险保证金的，甲方须在本协议签订后10个工作日内按照约定金额一次性足额缴纳完毕。保证金足额缴纳完毕后，相关业务方可正式开通上线运营。</w:t>
      </w:r>
    </w:p>
    <w:p w14:paraId="2513E6AC">
      <w:pPr>
        <w:pStyle w:val="15"/>
        <w:numPr>
          <w:ilvl w:val="0"/>
          <w:numId w:val="5"/>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本协议终止日起的 180 天内，甲方不得对风险保证金余额进行支取。在此之后，若经乙方认定，甲方不存在违法、违规行为或因甲方原因导致的争议、纠纷等情形，乙方在确认后将保证金余额无息返还至甲方账户。</w:t>
      </w:r>
    </w:p>
    <w:p w14:paraId="078526C2">
      <w:pPr>
        <w:pStyle w:val="15"/>
        <w:numPr>
          <w:ilvl w:val="0"/>
          <w:numId w:val="5"/>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如发生下列情况，乙方有权直接扣除上述保证金：</w:t>
      </w:r>
    </w:p>
    <w:p w14:paraId="1A2CA4E4">
      <w:pPr>
        <w:pStyle w:val="15"/>
        <w:numPr>
          <w:ilvl w:val="0"/>
          <w:numId w:val="6"/>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在交易中，如甲方涉嫌违法、违规或违反本协议约定操作而对第三方造成损失的， 乙方有权根据损失情况，直接扣除保证金对第三方进行赔付。</w:t>
      </w:r>
    </w:p>
    <w:p w14:paraId="3DBE6C16">
      <w:pPr>
        <w:pStyle w:val="15"/>
        <w:numPr>
          <w:ilvl w:val="0"/>
          <w:numId w:val="6"/>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如甲方违反本协议有关规定，并因此对乙方造成任何损失，乙方有权直接从保证金中扣除损失补偿，并有权要求甲方承担因其违约所造成的一切后果。</w:t>
      </w:r>
    </w:p>
    <w:p w14:paraId="4D4556BE">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在上述情况下，甲方须负责承担由此引起的全部损失及责任，对于保证金不足补偿的部分，甲方须按乙方的要求及时进行补偿，同时补足保证金原有额度，否则乙方有权从后续结算资金中直接扣除相关款项。</w:t>
      </w:r>
    </w:p>
    <w:p w14:paraId="781D8D30">
      <w:pPr>
        <w:pStyle w:val="15"/>
        <w:numPr>
          <w:ilvl w:val="0"/>
          <w:numId w:val="5"/>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乙方有权根据甲方业务整体运作、风险管理状况；甲方违约、被投诉次数；以及甲方涉嫌网络欺诈、银行或司法行政机关调查、外部环境变化等情况，对甲方的风险保证金额度作相应调整，乙方将在调整前 5 个工作日通知甲方，甲方须按照通知内容所述的风险保证金执行，在规定时间内向乙方足额补充风险保证金。</w:t>
      </w:r>
    </w:p>
    <w:p w14:paraId="20BE664C">
      <w:pPr>
        <w:pStyle w:val="15"/>
        <w:numPr>
          <w:ilvl w:val="0"/>
          <w:numId w:val="1"/>
        </w:numPr>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保密条款</w:t>
      </w:r>
    </w:p>
    <w:p w14:paraId="43672ED3">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甲乙双方承诺，对在执行本协议过程中所获悉的，属于对方且无法从公开渠道获得的文件及资料（包括公司计划、运营信息、协议费率、接口文档、银行账户信息、商户信息以及其他涉密内容等）予以保密。未经原提供方同意，另一方不得向任何第三方泄露上述文件与资料的全部或部分内容。但法律、法规另有规定或双方另有约定的除外。</w:t>
      </w:r>
    </w:p>
    <w:p w14:paraId="687C3DD9">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合作过程中，收集个人信息时，严格遵循合法、合理原则，不收集与工作无关的信息或采取不正当方式收集信息。</w:t>
      </w:r>
    </w:p>
    <w:p w14:paraId="015DAEF0">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收集、保存、使用、对外提供个人信息时，严格遵守法律规定，采取有效措施加强个人信息保护，确保信息安全，防止信息泄露和滥用。</w:t>
      </w:r>
    </w:p>
    <w:p w14:paraId="020CDF65">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不将个人信息用于营销，对外提供等作为与他人建立利益关系的先决条件，但如工作关系的性质决定需要必须预先取得相关授权或同意。</w:t>
      </w:r>
    </w:p>
    <w:p w14:paraId="42E2CDA1">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不篡改和出售个人信息。</w:t>
      </w:r>
    </w:p>
    <w:p w14:paraId="11F777B6">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违规通过中国人民银行征信系统、支付系统以及其他系统查询或滥用个人信息。</w:t>
      </w:r>
    </w:p>
    <w:p w14:paraId="5DB840A8">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如违反规定使用和对外提供个人信息，对单位或个人造成损害的，愿意承担相关法律责任并赔偿损失。</w:t>
      </w:r>
    </w:p>
    <w:p w14:paraId="00954813">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保密信息不包括：</w:t>
      </w:r>
    </w:p>
    <w:p w14:paraId="79FAA89C">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在一方传递给对方时已被公众掌握的信息或材料；</w:t>
      </w:r>
    </w:p>
    <w:p w14:paraId="20237338">
      <w:pPr>
        <w:pStyle w:val="15"/>
        <w:numPr>
          <w:ilvl w:val="0"/>
          <w:numId w:val="7"/>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在一方传递给对方时已被对方通过合法途径依法掌握的信息或材料，且当时对方并不负有任何保密义务。</w:t>
      </w:r>
    </w:p>
    <w:p w14:paraId="0B07E4D1">
      <w:pPr>
        <w:pStyle w:val="15"/>
        <w:numPr>
          <w:ilvl w:val="0"/>
          <w:numId w:val="8"/>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保密条款不适用范围：</w:t>
      </w:r>
    </w:p>
    <w:p w14:paraId="48E1E59D">
      <w:pPr>
        <w:pStyle w:val="15"/>
        <w:numPr>
          <w:ilvl w:val="0"/>
          <w:numId w:val="9"/>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纯粹因一方为履行本协议项下义务的目的而合理使用或披露保密信息的，但在披露之前须以书面形式征得对方同意；</w:t>
      </w:r>
    </w:p>
    <w:p w14:paraId="1D32A103">
      <w:pPr>
        <w:pStyle w:val="15"/>
        <w:numPr>
          <w:ilvl w:val="0"/>
          <w:numId w:val="9"/>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依据法律或具备法律效力的指令要求而使用或披露保密条款的情形。</w:t>
      </w:r>
    </w:p>
    <w:p w14:paraId="3A57B5EC">
      <w:pPr>
        <w:pStyle w:val="15"/>
        <w:numPr>
          <w:ilvl w:val="0"/>
          <w:numId w:val="8"/>
        </w:numPr>
        <w:tabs>
          <w:tab w:val="left" w:pos="7828"/>
          <w:tab w:val="left" w:pos="8991"/>
        </w:tabs>
        <w:spacing w:line="276" w:lineRule="auto"/>
        <w:ind w:left="0" w:firstLine="567"/>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本协议项下的保密义务具有独立性，且不因本协议的失效、提前终止、解除而失效，须继续保有至少为期五年的持续效力。对于违反保密条款义务的一方，协议另一方随时保有向其追索由此引发的一切损失及责任的权利。</w:t>
      </w:r>
    </w:p>
    <w:p w14:paraId="51EB03A9">
      <w:pPr>
        <w:pStyle w:val="15"/>
        <w:numPr>
          <w:ilvl w:val="0"/>
          <w:numId w:val="1"/>
        </w:numPr>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违约责任</w:t>
      </w:r>
    </w:p>
    <w:p w14:paraId="3FF85DEF">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（一）甲乙双方任何一方违反上述相关条款，均视为违约。违约方须对另一方承担因其违约造成的一切损失及后果。</w:t>
      </w:r>
    </w:p>
    <w:p w14:paraId="3638771C">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任何一方因违法、违规经营，恶意侵害用户权益等违约行为所引起的任何行政处罚、民事纠纷，以及其他法律责任，均由违约方自行承担。由此对另一方造成的一切损失，由违约方负责全部赔偿。同时，另一方有权因其违约行为随时解除本协议。</w:t>
      </w:r>
    </w:p>
    <w:p w14:paraId="2F3E4C7B">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（三）任何一方因未及时、妥善处理与用户之间的投诉和纠纷，导致另一方的声誉和形象受到损害，并因此造成任何损失的，过失方须负责承担由此引起的一切责任。同时，另一方有权因此解除本协议。</w:t>
      </w:r>
    </w:p>
    <w:p w14:paraId="0408E653">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四）因用户非法操作、银行系统异常、网络故障、不可抗力因素或其他非协议双方原因，导致任何一方不能及时履行本协议规定义务的，所涉及的一方无需承担相关的法律责任，但有义务与另一方共同采取有效措施避免或减少因此产生的负面影响及损失。</w:t>
      </w:r>
    </w:p>
    <w:p w14:paraId="6478B73F">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（五）如甲方向乙方提供的资料存在虚假内容、误导性陈述或者重大隐瞒等情况，视为违约行为，乙方有权因此解除本协议，并要求甲方负责承担由此造成的全部损失。</w:t>
      </w:r>
    </w:p>
    <w:p w14:paraId="061AD577">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六）协议期间，甲方如利用乙方提供的支付服务从事或涉嫌参与洗钱、恐怖融资或扩散（大规模杀伤性武器）融资、赌博、色情、毒品、走私、网络诈骗等犯罪活动，或从事销售管制品、违禁品、假冒产品等违法、违规行为的，乙方有权对其采取暂停提供服务、冻结账户、止付所涉及交易款项、上报监管部门等措施，并有权立即终止本协议且不承担任何责任。同时对于因甲方上述行为导致的乙方及所涉及的第三方损失，乙方有权从未结算款项及风险保证金中直接扣减予以补偿，对于不足抵扣部分，甲方须按乙方要求及时予以补足，否则乙方有权通过法律等途径进行追偿。</w:t>
      </w:r>
    </w:p>
    <w:p w14:paraId="4E7BE715">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前款所述洗钱、恐怖融资或扩散（大规模杀伤性武器）融资等活动，是指联合国安理会、反洗钱金融行动特别工作组、中国、美国、欧盟等国际组织或国家认定的洗钱、恐怖融资或扩散（大规模杀伤性武器）融资行为。</w:t>
      </w:r>
    </w:p>
    <w:p w14:paraId="025CFAF5">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（七）如由乙方合作银行或机构出现违反国内外监管规定及法律法规，或因自身原因造成风险的情形，所涉损失由合作银行或机构承担，乙方不承担先行垫付义务。</w:t>
      </w:r>
    </w:p>
    <w:p w14:paraId="441432D0">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八）甲方如未按约定及时支付服务费用，乙方有权暂停为其提供服务，并有权从未结算款项中直接扣除未支付费用；未结算款项不足扣减的部分，甲方须按乙方要求及时进行补足，乙方同时保有向甲方追索违约责任的权利。</w:t>
      </w:r>
    </w:p>
    <w:p w14:paraId="55EE3D0A">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九）依据本协议约定的解除或终止协议条款内容，乙方已收取的成功交易服务费用不再退还，甲乙双方在本协议解除后60个工作日后对甲方的剩余资金进行清算，但配合司法等部门进行冻结等处理行为的除外。如因用户投诉导致的协议解除，甲方需将所有用户投诉处理完毕，否则清算将顺延至用户投诉处理完毕后进行。</w:t>
      </w:r>
    </w:p>
    <w:p w14:paraId="2FA8938F">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Theme="minorEastAsia" w:hAnsiTheme="minorEastAsia"/>
          <w:sz w:val="21"/>
          <w:szCs w:val="21"/>
          <w:lang w:eastAsia="zh-CN"/>
        </w:rPr>
        <w:t xml:space="preserve"> </w:t>
      </w:r>
      <w:r>
        <w:rPr>
          <w:rFonts w:hint="eastAsia" w:ascii="新宋体" w:hAnsi="新宋体" w:eastAsia="新宋体" w:cs="新宋体"/>
          <w:sz w:val="21"/>
          <w:szCs w:val="21"/>
          <w:lang w:eastAsia="zh-CN"/>
        </w:rPr>
        <w:t>（十）甲方应当赔偿因违约而给乙方造成的所有损失，包括但不限于：法律诉讼费用、合理的律师酬金和费用、所有损失或损害等等。</w:t>
      </w:r>
    </w:p>
    <w:p w14:paraId="71319024">
      <w:pPr>
        <w:pStyle w:val="15"/>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第七条 风险提示与特别约定</w:t>
      </w:r>
    </w:p>
    <w:p w14:paraId="1573A1F4">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支付账户所记录的资金余额不同于甲方本人的银行存款，不受《存款保险条例》保护，其实质为甲方委托乙方保管的、所有权归属于甲方的预付价值。该预付价值对应的货币资金虽然属于甲方，但不以甲方本人名义存放在银行，而是以乙方名义存放在银行，并且由乙方向银行发起资金调拨指令。</w:t>
      </w:r>
    </w:p>
    <w:p w14:paraId="1018BE46">
      <w:pPr>
        <w:pStyle w:val="15"/>
        <w:tabs>
          <w:tab w:val="left" w:pos="7828"/>
          <w:tab w:val="left" w:pos="8991"/>
        </w:tabs>
        <w:spacing w:line="276" w:lineRule="auto"/>
        <w:ind w:firstLine="420" w:firstLineChars="200"/>
        <w:rPr>
          <w:rFonts w:hint="eastAsia" w:ascii="新宋体" w:hAnsi="新宋体" w:eastAsia="新宋体" w:cs="新宋体"/>
          <w:b/>
          <w:sz w:val="21"/>
          <w:szCs w:val="21"/>
          <w:lang w:eastAsia="zh-CN"/>
        </w:rPr>
      </w:pPr>
      <w:r>
        <w:rPr>
          <w:rFonts w:hint="eastAsia" w:ascii="新宋体" w:hAnsi="新宋体" w:eastAsia="新宋体" w:cs="新宋体"/>
          <w:sz w:val="21"/>
          <w:szCs w:val="21"/>
          <w:lang w:eastAsia="zh-CN"/>
        </w:rPr>
        <w:t>（二）甲方充分知悉，乙方仅提供支付相关服务，甲方应承担使用支付服务时其资金的货币贬值、汇率波动等风险。</w:t>
      </w:r>
    </w:p>
    <w:p w14:paraId="2048327D">
      <w:pPr>
        <w:pStyle w:val="15"/>
        <w:tabs>
          <w:tab w:val="left" w:pos="7828"/>
          <w:tab w:val="left" w:pos="8991"/>
        </w:tabs>
        <w:spacing w:line="276" w:lineRule="auto"/>
        <w:ind w:firstLine="420" w:firstLineChars="200"/>
        <w:rPr>
          <w:rFonts w:hint="eastAsia" w:ascii="新宋体" w:hAnsi="新宋体" w:eastAsia="新宋体" w:cs="新宋体"/>
          <w:b/>
          <w:sz w:val="21"/>
          <w:szCs w:val="21"/>
          <w:lang w:eastAsia="zh-CN"/>
        </w:rPr>
      </w:pPr>
      <w:r>
        <w:rPr>
          <w:rFonts w:hint="eastAsia" w:ascii="新宋体" w:hAnsi="新宋体" w:eastAsia="新宋体" w:cs="新宋体"/>
          <w:sz w:val="21"/>
          <w:szCs w:val="21"/>
          <w:lang w:eastAsia="zh-CN"/>
        </w:rPr>
        <w:t>（三）甲方充分知悉，网上交易有风险，甲方与他人因网上交易产生的商品或服务质量、数量、交易金额、交货时间等纠纷及损失，应由甲方独立承担责任。</w:t>
      </w:r>
    </w:p>
    <w:p w14:paraId="0CC59B96">
      <w:pPr>
        <w:pStyle w:val="15"/>
        <w:tabs>
          <w:tab w:val="left" w:pos="7828"/>
          <w:tab w:val="left" w:pos="8991"/>
        </w:tabs>
        <w:spacing w:line="276" w:lineRule="auto"/>
        <w:ind w:firstLine="420" w:firstLineChars="200"/>
        <w:rPr>
          <w:rFonts w:hint="eastAsia" w:ascii="新宋体" w:hAnsi="新宋体" w:eastAsia="新宋体" w:cs="新宋体"/>
          <w:b/>
          <w:sz w:val="21"/>
          <w:szCs w:val="21"/>
          <w:lang w:eastAsia="zh-CN"/>
        </w:rPr>
      </w:pPr>
      <w:r>
        <w:rPr>
          <w:rFonts w:hint="eastAsia" w:ascii="新宋体" w:hAnsi="新宋体" w:eastAsia="新宋体" w:cs="新宋体"/>
          <w:sz w:val="21"/>
          <w:szCs w:val="21"/>
          <w:lang w:eastAsia="zh-CN"/>
        </w:rPr>
        <w:t>（四）甲方对乙方所提示的风险和列示措施、说明完全理解和同意，承诺采取相关风险防范措施以尽量避免或减小风险，甲方自愿承担交易风险及损失。</w:t>
      </w:r>
    </w:p>
    <w:p w14:paraId="13EE897C">
      <w:pPr>
        <w:pStyle w:val="15"/>
        <w:tabs>
          <w:tab w:val="left" w:pos="7828"/>
          <w:tab w:val="left" w:pos="8991"/>
        </w:tabs>
        <w:spacing w:line="276" w:lineRule="auto"/>
        <w:ind w:firstLine="420" w:firstLineChars="200"/>
        <w:rPr>
          <w:rFonts w:hint="eastAsia" w:ascii="新宋体" w:hAnsi="新宋体" w:eastAsia="新宋体" w:cs="新宋体"/>
          <w:b/>
          <w:sz w:val="21"/>
          <w:szCs w:val="21"/>
          <w:lang w:eastAsia="zh-CN"/>
        </w:rPr>
      </w:pPr>
      <w:r>
        <w:rPr>
          <w:rFonts w:hint="eastAsia" w:ascii="新宋体" w:hAnsi="新宋体" w:eastAsia="新宋体" w:cs="新宋体"/>
          <w:sz w:val="21"/>
          <w:szCs w:val="21"/>
          <w:lang w:eastAsia="zh-CN"/>
        </w:rPr>
        <w:t>（五）如甲方不按照支付提示操作、未及时进行支付操作、遗忘或泄露密码、密码被他人破解、甲方使用的手机或计算机等终端被他人侵入等原因导致甲方遭受损失的，甲方应自行承担责任。</w:t>
      </w:r>
    </w:p>
    <w:p w14:paraId="411D122B">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六）甲方不得利用乙方提供的服务进行任何形式的洗钱、虚假交易、资金非法套现及其他违法行为。若乙方发现甲方违反本约定的，乙方可立即暂停、中止或终止支付服务，向公安部门报案，且将相关信息报送有关部门。</w:t>
      </w:r>
    </w:p>
    <w:p w14:paraId="134ED756">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七）如双方涉及数字人民币产品，则甲方同意在推广数字人民币产品阶段，乙方按照国家政策及市场变化对本协议做出单方面补充及终止，如甲方有违反所有协议内未约束到的条款和国家政策等有关规定，给乙方带来资损或产生的任何法律责任由甲方承担。</w:t>
      </w:r>
    </w:p>
    <w:p w14:paraId="52A7BE4E">
      <w:pPr>
        <w:pStyle w:val="15"/>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第八条 不可抗力</w:t>
      </w:r>
    </w:p>
    <w:p w14:paraId="083C9BCB">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不可抗力指双方在订立协议时不能预见、对其发生和后果不能避免且不能克服的事件。若因不可抗力致使一方未能全部或部分履行本协议不构成违约，本协议内受影响之条款可在不能履行之期间及受影响之范围内中止履行。</w:t>
      </w:r>
    </w:p>
    <w:p w14:paraId="18316BFA">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（二）因不可抗力、监管政策变化或者其他意外事件导致本协议的履行不可能、不必要或者无意义的，双方可以协商解除本协议。</w:t>
      </w:r>
    </w:p>
    <w:p w14:paraId="3B081642">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（三）任何一方因受到不可抗力影响而无法正常履行合同义务的，须及时以书面形式通知对方，并与协议另一方共同采取有效措施避免或减轻因事件影响而给对方带来的损失，同时须在发出书面通知后的 10 个工作日内提供关于受到不可抗力事件影响的证明材料。</w:t>
      </w:r>
    </w:p>
    <w:p w14:paraId="404AC3E8">
      <w:pPr>
        <w:pStyle w:val="15"/>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第九条 争议的处理</w:t>
      </w:r>
    </w:p>
    <w:p w14:paraId="0F4A84A2">
      <w:pPr>
        <w:ind w:firstLine="420" w:firstLineChars="200"/>
        <w:rPr>
          <w:rFonts w:hint="eastAsia" w:ascii="新宋体" w:hAnsi="新宋体" w:eastAsia="新宋体" w:cs="新宋体"/>
          <w:color w:val="000000" w:themeColor="text1"/>
          <w:sz w:val="21"/>
          <w:szCs w:val="21"/>
          <w:lang w:eastAsia="zh-CN"/>
          <w14:textFill>
            <w14:solidFill>
              <w14:schemeClr w14:val="tx1"/>
            </w14:solidFill>
          </w14:textFill>
        </w:rPr>
      </w:pPr>
      <w:r>
        <w:rPr>
          <w:rFonts w:hint="eastAsia" w:ascii="新宋体" w:hAnsi="新宋体" w:eastAsia="新宋体" w:cs="新宋体"/>
          <w:color w:val="000000" w:themeColor="text1"/>
          <w:sz w:val="21"/>
          <w:szCs w:val="21"/>
          <w:lang w:eastAsia="zh-CN"/>
          <w14:textFill>
            <w14:solidFill>
              <w14:schemeClr w14:val="tx1"/>
            </w14:solidFill>
          </w14:textFill>
        </w:rPr>
        <w:t>（一）本协议及附件的订立、解释、履行、效力等均适用中华人民共和国法律。（香港特别行政区、澳门特别行政区和台湾地区的法律除外），冲突法规则除外。</w:t>
      </w:r>
    </w:p>
    <w:p w14:paraId="38CEFD2A">
      <w:pPr>
        <w:ind w:firstLine="420" w:firstLineChars="200"/>
        <w:rPr>
          <w:rFonts w:hint="eastAsia" w:ascii="新宋体" w:hAnsi="新宋体" w:eastAsia="新宋体" w:cs="新宋体"/>
          <w:color w:val="000000" w:themeColor="text1"/>
          <w:sz w:val="21"/>
          <w:szCs w:val="21"/>
          <w:lang w:eastAsia="zh-CN"/>
          <w14:textFill>
            <w14:solidFill>
              <w14:schemeClr w14:val="tx1"/>
            </w14:solidFill>
          </w14:textFill>
        </w:rPr>
      </w:pPr>
      <w:r>
        <w:rPr>
          <w:rFonts w:hint="eastAsia" w:ascii="新宋体" w:hAnsi="新宋体" w:eastAsia="新宋体" w:cs="新宋体"/>
          <w:color w:val="000000" w:themeColor="text1"/>
          <w:sz w:val="21"/>
          <w:szCs w:val="21"/>
          <w:lang w:eastAsia="zh-CN"/>
          <w14:textFill>
            <w14:solidFill>
              <w14:schemeClr w14:val="tx1"/>
            </w14:solidFill>
          </w14:textFill>
        </w:rPr>
        <w:t>（二）如果本协议任何条款根据现行法律被确定为无效或无法实施，本协议的其他所有条款应继续执行。此种情况下，双方将修改无效条款，修改后的条款须尽可能接近原约定和本协议相应的精神和宗旨。</w:t>
      </w:r>
    </w:p>
    <w:p w14:paraId="77D30494">
      <w:pPr>
        <w:ind w:firstLine="420" w:firstLineChars="200"/>
        <w:rPr>
          <w:rFonts w:hint="eastAsia" w:ascii="新宋体" w:hAnsi="新宋体" w:eastAsia="新宋体" w:cs="新宋体"/>
          <w:sz w:val="21"/>
          <w:szCs w:val="21"/>
          <w:lang w:eastAsia="zh-CN"/>
        </w:rPr>
      </w:pPr>
      <w:r>
        <w:rPr>
          <w:rFonts w:hint="eastAsia" w:ascii="新宋体" w:hAnsi="新宋体" w:eastAsia="新宋体" w:cs="新宋体"/>
          <w:color w:val="000000" w:themeColor="text1"/>
          <w:sz w:val="21"/>
          <w:szCs w:val="21"/>
          <w:lang w:eastAsia="zh-CN"/>
          <w14:textFill>
            <w14:solidFill>
              <w14:schemeClr w14:val="tx1"/>
            </w14:solidFill>
          </w14:textFill>
        </w:rPr>
        <w:t>（三）凡由本协</w:t>
      </w:r>
      <w:r>
        <w:rPr>
          <w:rFonts w:hint="eastAsia" w:ascii="新宋体" w:hAnsi="新宋体" w:eastAsia="新宋体" w:cs="新宋体"/>
          <w:sz w:val="21"/>
          <w:szCs w:val="21"/>
          <w:lang w:eastAsia="zh-CN"/>
        </w:rPr>
        <w:t>议引起的或与本协议有关的一切争议和纠纷，双方应协商解决，协商不成，须提交乙方住所地法院申请诉讼解决。</w:t>
      </w:r>
    </w:p>
    <w:p w14:paraId="7563972D">
      <w:pPr>
        <w:pStyle w:val="15"/>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 xml:space="preserve">第十条 协议解除及终止 </w:t>
      </w:r>
    </w:p>
    <w:p w14:paraId="08AB8B78">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（一）在本协议有效期内，甲方双方通过协商一致，可以提前一个月以书面方式通知对方解除本协议。</w:t>
      </w:r>
    </w:p>
    <w:p w14:paraId="38122049">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（二）在本协议有效期内，如甲方违反法律法规或本协议的约定，乙方可以采取暂停提供支付服务、暂停结算等临时措施，经乙方书面通知后10日内仍未改正的，乙方可以书面通知甲方解除本协议。</w:t>
      </w:r>
    </w:p>
    <w:p w14:paraId="2A6D5202">
      <w:pPr>
        <w:pStyle w:val="15"/>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（三）当甲方发生下列任一情形的，乙方可以书面形式通知甲方解除本协议，若给乙方或其他损失方造成损失的，甲方应当向乙方或其他损失方承担赔偿责任：</w:t>
      </w:r>
    </w:p>
    <w:p w14:paraId="3EEFE720">
      <w:pPr>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1.因违反法律法规，被有关机构查处或被司法机关立案或介入调查；</w:t>
      </w:r>
    </w:p>
    <w:p w14:paraId="14828CA5">
      <w:pPr>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2.被监管机构、银行卡组织认定为不良商户，或甲方在监管机构的风险信息管理系统中存在不良信息；</w:t>
      </w:r>
    </w:p>
    <w:p w14:paraId="6F5A5D7F">
      <w:pPr>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3.利用乙方的支付服务实施违法活动的；</w:t>
      </w:r>
    </w:p>
    <w:p w14:paraId="78C1BCE1">
      <w:pPr>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4.发生停业、解散、企业注销或进入破产清算程序等情况；</w:t>
      </w:r>
    </w:p>
    <w:p w14:paraId="3B780BBC">
      <w:pPr>
        <w:spacing w:line="276" w:lineRule="auto"/>
        <w:rPr>
          <w:rFonts w:hint="eastAsia" w:ascii="新宋体" w:hAnsi="新宋体" w:eastAsia="新宋体" w:cs="新宋体"/>
          <w:sz w:val="21"/>
          <w:szCs w:val="21"/>
          <w:lang w:eastAsia="zh-CN"/>
        </w:rPr>
      </w:pPr>
    </w:p>
    <w:p w14:paraId="0766F8DA">
      <w:pPr>
        <w:spacing w:line="276" w:lineRule="auto"/>
        <w:jc w:val="center"/>
        <w:rPr>
          <w:rFonts w:hint="eastAsia" w:ascii="新宋体" w:hAnsi="新宋体" w:eastAsia="新宋体" w:cs="新宋体"/>
          <w:sz w:val="21"/>
          <w:szCs w:val="21"/>
          <w:lang w:eastAsia="zh-CN"/>
        </w:rPr>
      </w:pPr>
      <w:r>
        <w:rPr>
          <w:rFonts w:hint="eastAsia" w:ascii="新宋体" w:hAnsi="新宋体" w:eastAsia="新宋体" w:cs="新宋体"/>
          <w:b/>
          <w:spacing w:val="2"/>
          <w:sz w:val="21"/>
          <w:szCs w:val="21"/>
          <w:lang w:eastAsia="zh-CN"/>
        </w:rPr>
        <w:t>专用条款</w:t>
      </w:r>
    </w:p>
    <w:p w14:paraId="14657699">
      <w:pPr>
        <w:numPr>
          <w:ilvl w:val="0"/>
          <w:numId w:val="10"/>
        </w:numPr>
        <w:tabs>
          <w:tab w:val="left" w:pos="7828"/>
          <w:tab w:val="left" w:pos="8991"/>
        </w:tabs>
        <w:spacing w:line="276"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合作方式</w:t>
      </w:r>
    </w:p>
    <w:p w14:paraId="1383964A">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甲方开展跨境业务，具有跨境收、付款需求。乙方经中国人民银行许可，从事跨境支付业务。甲方委托乙方通过跨境支付服务系统进行收付款、资金划转等相关操作，对业务过程中涉及的操作承担风险责任，但乙方不参与甲方具体经营事项。</w:t>
      </w:r>
    </w:p>
    <w:p w14:paraId="3A294C08">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甲方将指定的结算账号作为其付款与收款专用账户。乙方经甲方委托并授权，按照甲方提供的交易申请信息，将相关款项从甲方可用资金中划转至其指定收款账户，或将甲方所收款项划转至其专用结算账户中；甲方须依据乙方业务需要及时提供相关交易材料与申报信息，并遵守乙方关于各项业务的规定与要求。</w:t>
      </w:r>
    </w:p>
    <w:p w14:paraId="5D569CC1">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甲方结算账户信息：</w:t>
      </w:r>
    </w:p>
    <w:tbl>
      <w:tblPr>
        <w:tblStyle w:val="14"/>
        <w:tblW w:w="8415" w:type="dxa"/>
        <w:tblInd w:w="-10" w:type="dxa"/>
        <w:tblLayout w:type="fixed"/>
        <w:tblCellMar>
          <w:top w:w="0" w:type="dxa"/>
          <w:left w:w="0" w:type="dxa"/>
          <w:bottom w:w="0" w:type="dxa"/>
          <w:right w:w="0" w:type="dxa"/>
        </w:tblCellMar>
      </w:tblPr>
      <w:tblGrid>
        <w:gridCol w:w="2050"/>
        <w:gridCol w:w="6365"/>
      </w:tblGrid>
      <w:tr w14:paraId="566E9EE3">
        <w:tblPrEx>
          <w:tblCellMar>
            <w:top w:w="0" w:type="dxa"/>
            <w:left w:w="0" w:type="dxa"/>
            <w:bottom w:w="0" w:type="dxa"/>
            <w:right w:w="0" w:type="dxa"/>
          </w:tblCellMar>
        </w:tblPrEx>
        <w:trPr>
          <w:trHeight w:val="488" w:hRule="atLeast"/>
        </w:trPr>
        <w:tc>
          <w:tcPr>
            <w:tcW w:w="2050" w:type="dxa"/>
            <w:tcBorders>
              <w:top w:val="single" w:color="000000" w:sz="4" w:space="0"/>
              <w:left w:val="single" w:color="000000" w:sz="4" w:space="0"/>
              <w:bottom w:val="single" w:color="000000" w:sz="4" w:space="0"/>
              <w:right w:val="single" w:color="000000" w:sz="4" w:space="0"/>
            </w:tcBorders>
          </w:tcPr>
          <w:p w14:paraId="5EC88DC0">
            <w:pPr>
              <w:spacing w:line="276" w:lineRule="auto"/>
              <w:ind w:left="141" w:right="141" w:rightChars="64"/>
              <w:jc w:val="both"/>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银行开户</w:t>
            </w:r>
            <w:r>
              <w:rPr>
                <w:rFonts w:hint="eastAsia" w:ascii="新宋体" w:hAnsi="新宋体" w:eastAsia="新宋体" w:cs="新宋体"/>
                <w:sz w:val="21"/>
                <w:szCs w:val="21"/>
              </w:rPr>
              <w:t>名</w:t>
            </w:r>
            <w:r>
              <w:rPr>
                <w:rFonts w:hint="eastAsia" w:ascii="新宋体" w:hAnsi="新宋体" w:eastAsia="新宋体" w:cs="新宋体"/>
                <w:sz w:val="21"/>
                <w:szCs w:val="21"/>
                <w:lang w:eastAsia="zh-CN"/>
              </w:rPr>
              <w:t>称</w:t>
            </w:r>
          </w:p>
        </w:tc>
        <w:tc>
          <w:tcPr>
            <w:tcW w:w="6365" w:type="dxa"/>
            <w:tcBorders>
              <w:top w:val="single" w:color="000000" w:sz="4" w:space="0"/>
              <w:left w:val="single" w:color="000000" w:sz="4" w:space="0"/>
              <w:bottom w:val="single" w:color="000000" w:sz="4" w:space="0"/>
              <w:right w:val="single" w:color="000000" w:sz="4" w:space="0"/>
            </w:tcBorders>
          </w:tcPr>
          <w:p w14:paraId="4EF2DF55">
            <w:pPr>
              <w:spacing w:line="276" w:lineRule="auto"/>
              <w:rPr>
                <w:rFonts w:hint="eastAsia" w:ascii="新宋体" w:hAnsi="新宋体" w:eastAsia="新宋体" w:cs="新宋体"/>
                <w:sz w:val="21"/>
                <w:szCs w:val="21"/>
                <w:lang w:eastAsia="zh-CN"/>
              </w:rPr>
            </w:pPr>
          </w:p>
        </w:tc>
      </w:tr>
      <w:tr w14:paraId="24A79A56">
        <w:tblPrEx>
          <w:tblCellMar>
            <w:top w:w="0" w:type="dxa"/>
            <w:left w:w="0" w:type="dxa"/>
            <w:bottom w:w="0" w:type="dxa"/>
            <w:right w:w="0" w:type="dxa"/>
          </w:tblCellMar>
        </w:tblPrEx>
        <w:trPr>
          <w:trHeight w:val="481" w:hRule="atLeast"/>
        </w:trPr>
        <w:tc>
          <w:tcPr>
            <w:tcW w:w="2050" w:type="dxa"/>
            <w:tcBorders>
              <w:top w:val="single" w:color="000000" w:sz="4" w:space="0"/>
              <w:left w:val="single" w:color="000000" w:sz="4" w:space="0"/>
              <w:bottom w:val="single" w:color="000000" w:sz="4" w:space="0"/>
              <w:right w:val="single" w:color="000000" w:sz="4" w:space="0"/>
            </w:tcBorders>
          </w:tcPr>
          <w:p w14:paraId="6CD25097">
            <w:pPr>
              <w:spacing w:line="276" w:lineRule="auto"/>
              <w:ind w:left="141" w:right="141" w:rightChars="64"/>
              <w:jc w:val="both"/>
              <w:rPr>
                <w:rFonts w:hint="eastAsia" w:ascii="新宋体" w:hAnsi="新宋体" w:eastAsia="新宋体" w:cs="新宋体"/>
                <w:sz w:val="21"/>
                <w:szCs w:val="21"/>
              </w:rPr>
            </w:pPr>
            <w:r>
              <w:rPr>
                <w:rFonts w:hint="eastAsia" w:ascii="新宋体" w:hAnsi="新宋体" w:eastAsia="新宋体" w:cs="新宋体"/>
                <w:sz w:val="21"/>
                <w:szCs w:val="21"/>
              </w:rPr>
              <w:t>银</w:t>
            </w:r>
            <w:r>
              <w:rPr>
                <w:rFonts w:hint="eastAsia" w:ascii="新宋体" w:hAnsi="新宋体" w:eastAsia="新宋体" w:cs="新宋体"/>
                <w:spacing w:val="2"/>
                <w:sz w:val="21"/>
                <w:szCs w:val="21"/>
              </w:rPr>
              <w:t>行</w:t>
            </w:r>
            <w:r>
              <w:rPr>
                <w:rFonts w:hint="eastAsia" w:ascii="新宋体" w:hAnsi="新宋体" w:eastAsia="新宋体" w:cs="新宋体"/>
                <w:sz w:val="21"/>
                <w:szCs w:val="21"/>
              </w:rPr>
              <w:t>账号</w:t>
            </w:r>
          </w:p>
        </w:tc>
        <w:tc>
          <w:tcPr>
            <w:tcW w:w="6365" w:type="dxa"/>
            <w:tcBorders>
              <w:top w:val="single" w:color="000000" w:sz="4" w:space="0"/>
              <w:left w:val="single" w:color="000000" w:sz="4" w:space="0"/>
              <w:bottom w:val="single" w:color="000000" w:sz="4" w:space="0"/>
              <w:right w:val="single" w:color="000000" w:sz="4" w:space="0"/>
            </w:tcBorders>
          </w:tcPr>
          <w:p w14:paraId="5B6AA0CC">
            <w:pPr>
              <w:spacing w:line="276" w:lineRule="auto"/>
              <w:rPr>
                <w:rFonts w:hint="eastAsia" w:ascii="新宋体" w:hAnsi="新宋体" w:eastAsia="新宋体" w:cs="新宋体"/>
                <w:sz w:val="21"/>
                <w:szCs w:val="21"/>
                <w:lang w:eastAsia="zh-CN"/>
              </w:rPr>
            </w:pPr>
          </w:p>
        </w:tc>
      </w:tr>
      <w:tr w14:paraId="294DF647">
        <w:tblPrEx>
          <w:tblCellMar>
            <w:top w:w="0" w:type="dxa"/>
            <w:left w:w="0" w:type="dxa"/>
            <w:bottom w:w="0" w:type="dxa"/>
            <w:right w:w="0" w:type="dxa"/>
          </w:tblCellMar>
        </w:tblPrEx>
        <w:trPr>
          <w:trHeight w:val="487" w:hRule="atLeast"/>
        </w:trPr>
        <w:tc>
          <w:tcPr>
            <w:tcW w:w="2050" w:type="dxa"/>
            <w:tcBorders>
              <w:top w:val="single" w:color="000000" w:sz="4" w:space="0"/>
              <w:left w:val="single" w:color="000000" w:sz="4" w:space="0"/>
              <w:bottom w:val="single" w:color="000000" w:sz="4" w:space="0"/>
              <w:right w:val="single" w:color="000000" w:sz="4" w:space="0"/>
            </w:tcBorders>
          </w:tcPr>
          <w:p w14:paraId="4CD8A21E">
            <w:pPr>
              <w:spacing w:line="276" w:lineRule="auto"/>
              <w:ind w:left="141" w:right="141" w:rightChars="64"/>
              <w:jc w:val="both"/>
              <w:rPr>
                <w:rFonts w:hint="eastAsia" w:ascii="新宋体" w:hAnsi="新宋体" w:eastAsia="新宋体" w:cs="新宋体"/>
                <w:sz w:val="21"/>
                <w:szCs w:val="21"/>
              </w:rPr>
            </w:pPr>
            <w:r>
              <w:rPr>
                <w:rFonts w:hint="eastAsia" w:ascii="新宋体" w:hAnsi="新宋体" w:eastAsia="新宋体" w:cs="新宋体"/>
                <w:sz w:val="21"/>
                <w:szCs w:val="21"/>
              </w:rPr>
              <w:t>开户</w:t>
            </w:r>
            <w:r>
              <w:rPr>
                <w:rFonts w:hint="eastAsia" w:ascii="新宋体" w:hAnsi="新宋体" w:eastAsia="新宋体" w:cs="新宋体"/>
                <w:sz w:val="21"/>
                <w:szCs w:val="21"/>
                <w:lang w:eastAsia="zh-CN"/>
              </w:rPr>
              <w:t>银</w:t>
            </w:r>
            <w:r>
              <w:rPr>
                <w:rFonts w:hint="eastAsia" w:ascii="新宋体" w:hAnsi="新宋体" w:eastAsia="新宋体" w:cs="新宋体"/>
                <w:sz w:val="21"/>
                <w:szCs w:val="21"/>
              </w:rPr>
              <w:t>行</w:t>
            </w:r>
          </w:p>
        </w:tc>
        <w:tc>
          <w:tcPr>
            <w:tcW w:w="6365" w:type="dxa"/>
            <w:tcBorders>
              <w:top w:val="single" w:color="000000" w:sz="4" w:space="0"/>
              <w:left w:val="single" w:color="000000" w:sz="4" w:space="0"/>
              <w:bottom w:val="single" w:color="000000" w:sz="4" w:space="0"/>
              <w:right w:val="single" w:color="000000" w:sz="4" w:space="0"/>
            </w:tcBorders>
          </w:tcPr>
          <w:p w14:paraId="2DD040AD">
            <w:pPr>
              <w:spacing w:line="276" w:lineRule="auto"/>
              <w:rPr>
                <w:rFonts w:hint="eastAsia" w:ascii="新宋体" w:hAnsi="新宋体" w:eastAsia="新宋体" w:cs="新宋体"/>
                <w:sz w:val="21"/>
                <w:szCs w:val="21"/>
                <w:lang w:eastAsia="zh-CN"/>
              </w:rPr>
            </w:pPr>
          </w:p>
        </w:tc>
      </w:tr>
    </w:tbl>
    <w:p w14:paraId="2EEDDBEF">
      <w:pPr>
        <w:tabs>
          <w:tab w:val="left" w:pos="7828"/>
          <w:tab w:val="left" w:pos="8991"/>
        </w:tabs>
        <w:spacing w:line="276" w:lineRule="auto"/>
        <w:rPr>
          <w:rFonts w:hint="eastAsia" w:ascii="新宋体" w:hAnsi="新宋体" w:eastAsia="新宋体" w:cs="新宋体"/>
          <w:sz w:val="21"/>
          <w:szCs w:val="21"/>
          <w:lang w:eastAsia="zh-CN"/>
        </w:rPr>
      </w:pPr>
    </w:p>
    <w:p w14:paraId="761B2701">
      <w:pPr>
        <w:tabs>
          <w:tab w:val="left" w:pos="7828"/>
          <w:tab w:val="left" w:pos="8991"/>
        </w:tabs>
        <w:spacing w:line="276" w:lineRule="auto"/>
        <w:ind w:firstLine="422" w:firstLineChars="200"/>
        <w:outlineLvl w:val="0"/>
        <w:rPr>
          <w:rFonts w:hint="eastAsia" w:ascii="新宋体" w:hAnsi="新宋体" w:eastAsia="新宋体" w:cs="新宋体"/>
          <w:b/>
          <w:color w:val="000000"/>
          <w:sz w:val="21"/>
          <w:szCs w:val="21"/>
          <w:lang w:eastAsia="zh-CN"/>
        </w:rPr>
      </w:pPr>
      <w:r>
        <w:rPr>
          <w:rFonts w:hint="eastAsia" w:ascii="新宋体" w:hAnsi="新宋体" w:eastAsia="新宋体" w:cs="新宋体"/>
          <w:b/>
          <w:sz w:val="21"/>
          <w:szCs w:val="21"/>
          <w:lang w:eastAsia="zh-CN"/>
        </w:rPr>
        <w:t>第二条 费用</w:t>
      </w:r>
    </w:p>
    <w:p w14:paraId="0AB440A3">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（一）甲方使用乙方的跨境支付产品及相关服务，应按双方确定的收费标准（附件1）支付服务费用。</w:t>
      </w:r>
    </w:p>
    <w:p w14:paraId="402056A7">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按交易金额或交易笔数收取的服务费用由乙方在完成业务办理时从交易款项中直接扣取；乙方将根据国家法律法规的规定向甲方开具增值税专用发票或增值税普通发票。开票金额以乙方系统数据为准，甲方于每月初将上个自然月核对无异议的开票金额及开票信息提交至乙方，乙方自收到甲方的开票需求15个工作日内为甲方开具上个自然月的手续费发票。</w:t>
      </w:r>
    </w:p>
    <w:p w14:paraId="33A9094E">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（三）如发生</w:t>
      </w:r>
      <w:r>
        <w:rPr>
          <w:rFonts w:hint="eastAsia" w:ascii="新宋体" w:hAnsi="新宋体" w:eastAsia="新宋体" w:cs="新宋体"/>
          <w:color w:val="000000" w:themeColor="text1"/>
          <w:sz w:val="21"/>
          <w:szCs w:val="21"/>
          <w:lang w:eastAsia="zh-CN"/>
          <w14:textFill>
            <w14:solidFill>
              <w14:schemeClr w14:val="tx1"/>
            </w14:solidFill>
          </w14:textFill>
        </w:rPr>
        <w:t>合作银行</w:t>
      </w:r>
      <w:r>
        <w:rPr>
          <w:rFonts w:hint="eastAsia" w:ascii="新宋体" w:hAnsi="新宋体" w:eastAsia="新宋体" w:cs="新宋体"/>
          <w:sz w:val="21"/>
          <w:szCs w:val="21"/>
          <w:lang w:eastAsia="zh-CN"/>
        </w:rPr>
        <w:t>调整收费政策或市场行情波动等因素影响，乙方有权对费率进行调整，但须提前10个工作日以书面形式通知甲方。若双方就调整后的费率无法达成一致，则甲乙双方均有权终止本协议。</w:t>
      </w:r>
    </w:p>
    <w:p w14:paraId="76D6B77F">
      <w:pPr>
        <w:tabs>
          <w:tab w:val="left" w:pos="7828"/>
          <w:tab w:val="left" w:pos="8991"/>
        </w:tabs>
        <w:spacing w:line="276" w:lineRule="auto"/>
        <w:ind w:firstLine="422" w:firstLineChars="200"/>
        <w:outlineLvl w:val="0"/>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第三条 结算</w:t>
      </w:r>
    </w:p>
    <w:p w14:paraId="264A6BE3">
      <w:pPr>
        <w:tabs>
          <w:tab w:val="left" w:pos="7828"/>
          <w:tab w:val="left" w:pos="8991"/>
        </w:tabs>
        <w:spacing w:line="276" w:lineRule="auto"/>
        <w:ind w:firstLine="420" w:firstLineChars="200"/>
        <w:rPr>
          <w:rFonts w:hint="eastAsia" w:ascii="新宋体" w:hAnsi="新宋体" w:eastAsia="新宋体" w:cs="新宋体"/>
          <w:color w:val="000000" w:themeColor="text1"/>
          <w:sz w:val="21"/>
          <w:szCs w:val="21"/>
          <w:lang w:eastAsia="zh-CN"/>
          <w14:textFill>
            <w14:solidFill>
              <w14:schemeClr w14:val="tx1"/>
            </w14:solidFill>
          </w14:textFill>
        </w:rPr>
      </w:pPr>
      <w:r>
        <w:rPr>
          <w:rFonts w:hint="eastAsia" w:ascii="新宋体" w:hAnsi="新宋体" w:eastAsia="新宋体" w:cs="新宋体"/>
          <w:color w:val="000000" w:themeColor="text1"/>
          <w:sz w:val="21"/>
          <w:szCs w:val="21"/>
          <w:lang w:eastAsia="zh-CN"/>
          <w14:textFill>
            <w14:solidFill>
              <w14:schemeClr w14:val="tx1"/>
            </w14:solidFill>
          </w14:textFill>
        </w:rPr>
        <w:t>（一）乙方在办理业务时，应在收到交易资金之日（T）后的第一个工作日（T+1）内完成业务的处理。</w:t>
      </w:r>
    </w:p>
    <w:p w14:paraId="1019BAE9">
      <w:pPr>
        <w:tabs>
          <w:tab w:val="left" w:pos="7828"/>
          <w:tab w:val="left" w:pos="8991"/>
        </w:tabs>
        <w:spacing w:line="276" w:lineRule="auto"/>
        <w:ind w:firstLine="420" w:firstLineChars="200"/>
        <w:rPr>
          <w:rFonts w:hint="eastAsia" w:ascii="新宋体" w:hAnsi="新宋体" w:eastAsia="新宋体" w:cs="新宋体"/>
          <w:color w:val="FF0000"/>
          <w:sz w:val="21"/>
          <w:szCs w:val="21"/>
          <w:lang w:eastAsia="zh-CN"/>
        </w:rPr>
      </w:pPr>
      <w:r>
        <w:rPr>
          <w:rFonts w:hint="eastAsia" w:ascii="新宋体" w:hAnsi="新宋体" w:eastAsia="新宋体" w:cs="新宋体"/>
          <w:sz w:val="21"/>
          <w:szCs w:val="21"/>
          <w:lang w:eastAsia="zh-CN"/>
        </w:rPr>
        <w:t>（二）在商户的交易过程中，以银行渠道归集（包括但不限于银行汇款、B2C网银、B2B网银、快捷支付等互联网支付通道）的方式进入乙方人民币备付金账户的情况下，向</w:t>
      </w:r>
      <w:r>
        <w:rPr>
          <w:rFonts w:hint="eastAsia" w:ascii="新宋体" w:hAnsi="新宋体" w:eastAsia="新宋体" w:cs="新宋体"/>
          <w:color w:val="000000" w:themeColor="text1"/>
          <w:sz w:val="21"/>
          <w:szCs w:val="21"/>
          <w:lang w:eastAsia="zh-CN"/>
          <w14:textFill>
            <w14:solidFill>
              <w14:schemeClr w14:val="tx1"/>
            </w14:solidFill>
          </w14:textFill>
        </w:rPr>
        <w:t>合作银行发起结算申请。</w:t>
      </w:r>
    </w:p>
    <w:p w14:paraId="46242F25">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（三）境外到账时间以合作银行的处理为准。</w:t>
      </w:r>
    </w:p>
    <w:p w14:paraId="7531889D">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（四）</w:t>
      </w:r>
      <w:r>
        <w:rPr>
          <w:rFonts w:hint="eastAsia" w:ascii="新宋体" w:hAnsi="新宋体" w:eastAsia="新宋体" w:cs="新宋体"/>
          <w:color w:val="000000"/>
          <w:sz w:val="21"/>
          <w:szCs w:val="21"/>
          <w:lang w:eastAsia="zh-CN"/>
        </w:rPr>
        <w:t>国际汇款过程中境外银行可能会向甲方收取汇款中转费，或向收款人收取入账手续费，这些费用将从汇款金额中扣除。如汇款被收款行退回，以上费用境外银行不做退回。</w:t>
      </w:r>
    </w:p>
    <w:p w14:paraId="0852D7A4">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（五）甲方使用乙方的跨境收银台时可以指定结算币种，如因甲方所提供信息标识不清等原因造成的交易争议及由此引发的一切损失由甲方自行承担。</w:t>
      </w:r>
    </w:p>
    <w:p w14:paraId="6D275191">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（六）乙方须按约定的结算周期为甲方进行结算，但因银行系统异常等非乙方原因导致结算延误的，乙方不承担相应责任与损失。甲方如对结算周期提出附加要求，须由双方单独协商，并签署补充协议约定。</w:t>
      </w:r>
    </w:p>
    <w:p w14:paraId="18712136">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（七）甲方通过乙方系统使用支付服务的各项限额，须符合监管机构相关规定；如对单笔订单金额有其他要求的，从其规定。</w:t>
      </w:r>
    </w:p>
    <w:p w14:paraId="4713E012">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（八）甲方承诺，在享受服务时，甲方的收款金额以境内银行待核查到账金额为准，甲方须在乙方服务网站页面确认收款金额。</w:t>
      </w:r>
    </w:p>
    <w:p w14:paraId="6087E901">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5902BCBB">
      <w:pPr>
        <w:tabs>
          <w:tab w:val="left" w:pos="7828"/>
          <w:tab w:val="left" w:pos="8991"/>
        </w:tabs>
        <w:spacing w:line="276" w:lineRule="auto"/>
        <w:ind w:firstLine="422" w:firstLineChars="200"/>
        <w:rPr>
          <w:rFonts w:hint="eastAsia" w:ascii="新宋体" w:hAnsi="新宋体" w:eastAsia="新宋体" w:cs="新宋体"/>
          <w:sz w:val="21"/>
          <w:szCs w:val="21"/>
          <w:lang w:eastAsia="zh-CN"/>
        </w:rPr>
      </w:pPr>
      <w:r>
        <w:rPr>
          <w:rFonts w:hint="eastAsia" w:ascii="新宋体" w:hAnsi="新宋体" w:eastAsia="新宋体" w:cs="新宋体"/>
          <w:b/>
          <w:sz w:val="21"/>
          <w:szCs w:val="21"/>
          <w:lang w:eastAsia="zh-CN"/>
        </w:rPr>
        <w:t>第四条 期限及其他</w:t>
      </w:r>
    </w:p>
    <w:p w14:paraId="590F24F4">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（一）本协议自</w:t>
      </w:r>
      <w:r>
        <w:rPr>
          <w:rFonts w:hint="eastAsia" w:ascii="新宋体" w:hAnsi="新宋体" w:eastAsia="新宋体" w:cs="新宋体"/>
          <w:sz w:val="21"/>
          <w:szCs w:val="21"/>
          <w:u w:val="single"/>
          <w:lang w:eastAsia="zh-CN"/>
        </w:rPr>
        <w:t xml:space="preserve">    </w:t>
      </w:r>
      <w:r>
        <w:rPr>
          <w:rFonts w:hint="eastAsia" w:ascii="新宋体" w:hAnsi="新宋体" w:eastAsia="新宋体" w:cs="新宋体"/>
          <w:sz w:val="21"/>
          <w:szCs w:val="21"/>
          <w:lang w:eastAsia="zh-CN"/>
        </w:rPr>
        <w:t>年</w:t>
      </w:r>
      <w:r>
        <w:rPr>
          <w:rFonts w:hint="eastAsia" w:ascii="新宋体" w:hAnsi="新宋体" w:eastAsia="新宋体" w:cs="新宋体"/>
          <w:sz w:val="21"/>
          <w:szCs w:val="21"/>
          <w:u w:val="single"/>
          <w:lang w:eastAsia="zh-CN"/>
        </w:rPr>
        <w:t xml:space="preserve">   </w:t>
      </w:r>
      <w:r>
        <w:rPr>
          <w:rFonts w:hint="eastAsia" w:ascii="新宋体" w:hAnsi="新宋体" w:eastAsia="新宋体" w:cs="新宋体"/>
          <w:sz w:val="21"/>
          <w:szCs w:val="21"/>
          <w:lang w:eastAsia="zh-CN"/>
        </w:rPr>
        <w:t>月</w:t>
      </w:r>
      <w:r>
        <w:rPr>
          <w:rFonts w:hint="eastAsia" w:ascii="新宋体" w:hAnsi="新宋体" w:eastAsia="新宋体" w:cs="新宋体"/>
          <w:sz w:val="21"/>
          <w:szCs w:val="21"/>
          <w:u w:val="single"/>
          <w:lang w:eastAsia="zh-CN"/>
        </w:rPr>
        <w:t xml:space="preserve">   </w:t>
      </w:r>
      <w:r>
        <w:rPr>
          <w:rFonts w:hint="eastAsia" w:ascii="新宋体" w:hAnsi="新宋体" w:eastAsia="新宋体" w:cs="新宋体"/>
          <w:sz w:val="21"/>
          <w:szCs w:val="21"/>
          <w:lang w:eastAsia="zh-CN"/>
        </w:rPr>
        <w:t>日起生效，协议有效期为一年。协议到期时如双方均无异议，自动顺延一年，顺延次数不限。任何一方如无续签意向，须于本协议到期前 30 日以书面形式通知对方。</w:t>
      </w:r>
    </w:p>
    <w:p w14:paraId="3509885F">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（二）本协议的注解、附件、补充规定为本协议不可分割的组成部分，与本协议具有同等法律效力。</w:t>
      </w:r>
    </w:p>
    <w:p w14:paraId="49C17549">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（三）本协议一式肆份，甲、乙双方各持贰份，经双方盖章（公章或合同章）后生效，具有同等法律效力。</w:t>
      </w:r>
    </w:p>
    <w:p w14:paraId="1DBD4405">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00E726C6">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3EC71AD3">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775CE086">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411E721C">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480C78B5">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p>
    <w:p w14:paraId="217F9E1C">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甲方（盖章）：                      乙方（盖章）：</w:t>
      </w:r>
    </w:p>
    <w:p w14:paraId="37E1504B">
      <w:pPr>
        <w:tabs>
          <w:tab w:val="left" w:pos="7828"/>
          <w:tab w:val="left" w:pos="8991"/>
        </w:tabs>
        <w:spacing w:line="276" w:lineRule="auto"/>
        <w:rPr>
          <w:rFonts w:hint="eastAsia" w:ascii="新宋体" w:hAnsi="新宋体" w:eastAsia="新宋体" w:cs="新宋体"/>
          <w:sz w:val="21"/>
          <w:szCs w:val="21"/>
          <w:lang w:eastAsia="zh-CN"/>
        </w:rPr>
      </w:pPr>
    </w:p>
    <w:p w14:paraId="59D228F5">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法定代表人(授权代表)：              法定代表人(授权代表)：</w:t>
      </w:r>
    </w:p>
    <w:p w14:paraId="6E7A256E">
      <w:pPr>
        <w:tabs>
          <w:tab w:val="left" w:pos="7828"/>
          <w:tab w:val="left" w:pos="8991"/>
        </w:tabs>
        <w:spacing w:line="276" w:lineRule="auto"/>
        <w:jc w:val="center"/>
        <w:rPr>
          <w:rFonts w:hint="eastAsia" w:ascii="新宋体" w:hAnsi="新宋体" w:eastAsia="新宋体" w:cs="新宋体"/>
          <w:sz w:val="21"/>
          <w:szCs w:val="21"/>
          <w:lang w:eastAsia="zh-CN"/>
        </w:rPr>
      </w:pPr>
    </w:p>
    <w:p w14:paraId="5EFAD26A">
      <w:pPr>
        <w:tabs>
          <w:tab w:val="left" w:pos="7828"/>
          <w:tab w:val="left" w:pos="8991"/>
        </w:tabs>
        <w:spacing w:line="276" w:lineRule="auto"/>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签署日期： 年   月   日             签署日期： 年   月   日</w:t>
      </w:r>
    </w:p>
    <w:p w14:paraId="5767043F">
      <w:pPr>
        <w:widowControl/>
        <w:rPr>
          <w:rFonts w:hint="eastAsia" w:ascii="新宋体" w:hAnsi="新宋体" w:eastAsia="新宋体" w:cs="新宋体"/>
          <w:sz w:val="21"/>
          <w:szCs w:val="21"/>
          <w:lang w:eastAsia="zh-CN"/>
        </w:rPr>
      </w:pPr>
    </w:p>
    <w:p w14:paraId="261AD9A0">
      <w:pPr>
        <w:widowControl/>
        <w:rPr>
          <w:rFonts w:hint="eastAsia" w:ascii="新宋体" w:hAnsi="新宋体" w:eastAsia="新宋体" w:cs="新宋体"/>
          <w:sz w:val="21"/>
          <w:szCs w:val="21"/>
          <w:lang w:eastAsia="zh-CN"/>
        </w:rPr>
      </w:pPr>
    </w:p>
    <w:p w14:paraId="6F1BA8D0">
      <w:pPr>
        <w:widowControl/>
        <w:rPr>
          <w:rFonts w:hint="eastAsia" w:ascii="新宋体" w:hAnsi="新宋体" w:eastAsia="新宋体" w:cs="新宋体"/>
          <w:sz w:val="21"/>
          <w:szCs w:val="21"/>
          <w:lang w:eastAsia="zh-CN"/>
        </w:rPr>
      </w:pPr>
    </w:p>
    <w:p w14:paraId="13281DAA">
      <w:pPr>
        <w:widowControl/>
        <w:rPr>
          <w:rFonts w:hint="eastAsia" w:ascii="新宋体" w:hAnsi="新宋体" w:eastAsia="新宋体" w:cs="新宋体"/>
          <w:sz w:val="21"/>
          <w:szCs w:val="21"/>
          <w:lang w:eastAsia="zh-CN"/>
        </w:rPr>
      </w:pPr>
    </w:p>
    <w:p w14:paraId="0506BE08">
      <w:pPr>
        <w:widowControl/>
        <w:rPr>
          <w:rFonts w:hint="eastAsia" w:ascii="新宋体" w:hAnsi="新宋体" w:eastAsia="新宋体" w:cs="新宋体"/>
          <w:sz w:val="21"/>
          <w:szCs w:val="21"/>
          <w:lang w:eastAsia="zh-CN"/>
        </w:rPr>
      </w:pPr>
    </w:p>
    <w:p w14:paraId="6EB4E004">
      <w:pPr>
        <w:widowControl/>
        <w:rPr>
          <w:rFonts w:hint="eastAsia" w:ascii="新宋体" w:hAnsi="新宋体" w:eastAsia="新宋体" w:cs="新宋体"/>
          <w:sz w:val="21"/>
          <w:szCs w:val="21"/>
          <w:lang w:eastAsia="zh-CN"/>
        </w:rPr>
      </w:pPr>
    </w:p>
    <w:p w14:paraId="2C02F29D">
      <w:pPr>
        <w:widowControl/>
        <w:rPr>
          <w:rFonts w:hint="eastAsia" w:ascii="新宋体" w:hAnsi="新宋体" w:eastAsia="新宋体" w:cs="新宋体"/>
          <w:sz w:val="21"/>
          <w:szCs w:val="21"/>
          <w:lang w:eastAsia="zh-CN"/>
        </w:rPr>
      </w:pPr>
    </w:p>
    <w:p w14:paraId="08223FF0">
      <w:pPr>
        <w:widowControl/>
        <w:rPr>
          <w:rFonts w:hint="eastAsia" w:ascii="新宋体" w:hAnsi="新宋体" w:eastAsia="新宋体" w:cs="新宋体"/>
          <w:sz w:val="21"/>
          <w:szCs w:val="21"/>
          <w:lang w:eastAsia="zh-CN"/>
        </w:rPr>
      </w:pPr>
    </w:p>
    <w:p w14:paraId="797DDDD0">
      <w:pPr>
        <w:widowControl/>
        <w:rPr>
          <w:rFonts w:hint="eastAsia" w:ascii="新宋体" w:hAnsi="新宋体" w:eastAsia="新宋体" w:cs="新宋体"/>
          <w:sz w:val="21"/>
          <w:szCs w:val="21"/>
          <w:lang w:eastAsia="zh-CN"/>
        </w:rPr>
      </w:pPr>
    </w:p>
    <w:p w14:paraId="6CB36567">
      <w:pPr>
        <w:tabs>
          <w:tab w:val="left" w:pos="7828"/>
          <w:tab w:val="left" w:pos="8991"/>
        </w:tabs>
        <w:spacing w:line="15" w:lineRule="auto"/>
        <w:rPr>
          <w:rFonts w:hint="eastAsia" w:ascii="新宋体" w:hAnsi="新宋体" w:eastAsia="新宋体" w:cs="新宋体"/>
          <w:b/>
          <w:sz w:val="21"/>
          <w:szCs w:val="21"/>
          <w:lang w:eastAsia="zh-CN"/>
        </w:rPr>
      </w:pPr>
      <w:r>
        <w:rPr>
          <w:rFonts w:hint="eastAsia" w:ascii="新宋体" w:hAnsi="新宋体" w:eastAsia="新宋体" w:cs="新宋体"/>
          <w:b/>
          <w:sz w:val="21"/>
          <w:szCs w:val="21"/>
          <w:lang w:eastAsia="zh-CN"/>
        </w:rPr>
        <w:t>附件1</w:t>
      </w:r>
    </w:p>
    <w:p w14:paraId="39460F8A">
      <w:pPr>
        <w:tabs>
          <w:tab w:val="left" w:pos="7828"/>
          <w:tab w:val="left" w:pos="8991"/>
        </w:tabs>
        <w:spacing w:line="15" w:lineRule="auto"/>
        <w:jc w:val="center"/>
        <w:rPr>
          <w:rFonts w:hint="eastAsia" w:ascii="新宋体" w:hAnsi="新宋体" w:eastAsia="新宋体" w:cs="新宋体"/>
          <w:b/>
          <w:sz w:val="28"/>
          <w:szCs w:val="28"/>
          <w:lang w:eastAsia="zh-CN"/>
        </w:rPr>
      </w:pPr>
      <w:r>
        <w:rPr>
          <w:rFonts w:hint="eastAsia" w:ascii="新宋体" w:hAnsi="新宋体" w:eastAsia="新宋体" w:cs="新宋体"/>
          <w:b/>
          <w:sz w:val="28"/>
          <w:szCs w:val="28"/>
          <w:lang w:eastAsia="zh-CN"/>
        </w:rPr>
        <w:t>跨境支付产品及服务列表</w:t>
      </w:r>
    </w:p>
    <w:tbl>
      <w:tblPr>
        <w:tblStyle w:val="8"/>
        <w:tblW w:w="9207"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15" w:type="dxa"/>
          <w:left w:w="15" w:type="dxa"/>
          <w:bottom w:w="15" w:type="dxa"/>
          <w:right w:w="15" w:type="dxa"/>
        </w:tblCellMar>
      </w:tblPr>
      <w:tblGrid>
        <w:gridCol w:w="2395"/>
        <w:gridCol w:w="2410"/>
        <w:gridCol w:w="4402"/>
      </w:tblGrid>
      <w:tr w14:paraId="4EE71D8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95" w:hRule="atLeast"/>
          <w:jc w:val="center"/>
        </w:trPr>
        <w:tc>
          <w:tcPr>
            <w:tcW w:w="9207" w:type="dxa"/>
            <w:gridSpan w:val="3"/>
            <w:tcBorders>
              <w:bottom w:val="single" w:color="auto" w:sz="8" w:space="0"/>
            </w:tcBorders>
            <w:shd w:val="clear" w:color="auto" w:fill="BFBFBF"/>
            <w:vAlign w:val="center"/>
          </w:tcPr>
          <w:p w14:paraId="4FCEE2FF">
            <w:pPr>
              <w:spacing w:line="240" w:lineRule="exact"/>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bidi="ar"/>
              </w:rPr>
              <w:t>跨境付款产品</w:t>
            </w:r>
          </w:p>
        </w:tc>
      </w:tr>
      <w:tr w14:paraId="0EB3877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97" w:hRule="atLeast"/>
          <w:jc w:val="center"/>
        </w:trPr>
        <w:tc>
          <w:tcPr>
            <w:tcW w:w="2395" w:type="dxa"/>
            <w:tcBorders>
              <w:top w:val="single" w:color="auto" w:sz="8" w:space="0"/>
              <w:bottom w:val="single" w:color="auto" w:sz="8" w:space="0"/>
              <w:right w:val="single" w:color="auto" w:sz="8" w:space="0"/>
            </w:tcBorders>
            <w:shd w:val="clear" w:color="auto" w:fill="F1F1F1" w:themeFill="background1" w:themeFillShade="F2"/>
            <w:vAlign w:val="center"/>
          </w:tcPr>
          <w:p w14:paraId="1364125E">
            <w:pPr>
              <w:widowControl/>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服务内容</w:t>
            </w:r>
          </w:p>
        </w:tc>
        <w:tc>
          <w:tcPr>
            <w:tcW w:w="2410" w:type="dxa"/>
            <w:tcBorders>
              <w:top w:val="single" w:color="auto" w:sz="8" w:space="0"/>
              <w:left w:val="single" w:color="auto" w:sz="8" w:space="0"/>
              <w:bottom w:val="single" w:color="auto" w:sz="8" w:space="0"/>
              <w:right w:val="single" w:color="auto" w:sz="8" w:space="0"/>
            </w:tcBorders>
            <w:shd w:val="clear" w:color="auto" w:fill="F1F1F1" w:themeFill="background1" w:themeFillShade="F2"/>
            <w:vAlign w:val="center"/>
          </w:tcPr>
          <w:p w14:paraId="01216995">
            <w:pPr>
              <w:widowControl/>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服务子项</w:t>
            </w:r>
          </w:p>
        </w:tc>
        <w:tc>
          <w:tcPr>
            <w:tcW w:w="4402" w:type="dxa"/>
            <w:tcBorders>
              <w:top w:val="single" w:color="auto" w:sz="8" w:space="0"/>
              <w:left w:val="single" w:color="auto" w:sz="8" w:space="0"/>
              <w:bottom w:val="single" w:color="auto" w:sz="8" w:space="0"/>
            </w:tcBorders>
            <w:shd w:val="clear" w:color="auto" w:fill="F1F1F1" w:themeFill="background1" w:themeFillShade="F2"/>
            <w:vAlign w:val="center"/>
          </w:tcPr>
          <w:p w14:paraId="79DC2CE7">
            <w:pPr>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服务费用标准</w:t>
            </w:r>
          </w:p>
        </w:tc>
      </w:tr>
      <w:tr w14:paraId="09F7C8E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293" w:hRule="atLeast"/>
          <w:jc w:val="center"/>
        </w:trPr>
        <w:tc>
          <w:tcPr>
            <w:tcW w:w="2395" w:type="dxa"/>
            <w:vMerge w:val="restart"/>
            <w:tcBorders>
              <w:top w:val="single" w:color="auto" w:sz="8" w:space="0"/>
              <w:right w:val="single" w:color="auto" w:sz="8" w:space="0"/>
            </w:tcBorders>
            <w:shd w:val="clear" w:color="auto" w:fill="auto"/>
            <w:vAlign w:val="center"/>
          </w:tcPr>
          <w:p w14:paraId="1860B4AD">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□跨境付款人民币</w:t>
            </w:r>
          </w:p>
          <w:p w14:paraId="51001F86">
            <w:pPr>
              <w:widowControl/>
              <w:spacing w:line="240" w:lineRule="exact"/>
              <w:textAlignment w:val="center"/>
              <w:rPr>
                <w:lang w:eastAsia="zh-CN"/>
              </w:rPr>
            </w:pPr>
          </w:p>
          <w:p w14:paraId="0CC626E2">
            <w:pPr>
              <w:widowControl/>
              <w:spacing w:line="240" w:lineRule="exact"/>
              <w:textAlignment w:val="center"/>
              <w:rPr>
                <w:lang w:eastAsia="zh-CN"/>
              </w:rPr>
            </w:pPr>
            <w:r>
              <w:rPr>
                <w:rFonts w:hint="eastAsia" w:ascii="新宋体" w:hAnsi="新宋体" w:eastAsia="新宋体" w:cs="新宋体"/>
                <w:color w:val="000000"/>
                <w:sz w:val="21"/>
                <w:szCs w:val="21"/>
                <w:lang w:eastAsia="zh-CN" w:bidi="ar"/>
              </w:rPr>
              <w:t>□跨境付款外币</w:t>
            </w:r>
          </w:p>
          <w:p w14:paraId="28CE5F5B">
            <w:pPr>
              <w:widowControl/>
              <w:spacing w:line="240" w:lineRule="exact"/>
              <w:jc w:val="center"/>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4" w:space="0"/>
              <w:right w:val="single" w:color="auto" w:sz="8" w:space="0"/>
            </w:tcBorders>
            <w:shd w:val="clear" w:color="auto" w:fill="auto"/>
            <w:vAlign w:val="center"/>
          </w:tcPr>
          <w:p w14:paraId="102CE2D4">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lang w:eastAsia="zh-CN"/>
              </w:rPr>
              <w:t>□</w:t>
            </w:r>
            <w:r>
              <w:rPr>
                <w:rFonts w:hint="eastAsia" w:ascii="华文细黑" w:hAnsi="华文细黑" w:eastAsia="华文细黑"/>
                <w:szCs w:val="21"/>
              </w:rPr>
              <w:t>电商货贸</w:t>
            </w:r>
          </w:p>
        </w:tc>
        <w:tc>
          <w:tcPr>
            <w:tcW w:w="4402" w:type="dxa"/>
            <w:tcBorders>
              <w:top w:val="single" w:color="auto" w:sz="8" w:space="0"/>
              <w:left w:val="single" w:color="auto" w:sz="8" w:space="0"/>
              <w:bottom w:val="single" w:color="auto" w:sz="4" w:space="0"/>
            </w:tcBorders>
            <w:shd w:val="clear" w:color="auto" w:fill="auto"/>
            <w:vAlign w:val="center"/>
          </w:tcPr>
          <w:p w14:paraId="25069E68">
            <w:pPr>
              <w:widowControl/>
              <w:spacing w:line="240" w:lineRule="exact"/>
              <w:jc w:val="both"/>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7F2DC0C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206" w:hRule="atLeast"/>
          <w:jc w:val="center"/>
        </w:trPr>
        <w:tc>
          <w:tcPr>
            <w:tcW w:w="2395" w:type="dxa"/>
            <w:vMerge w:val="continue"/>
            <w:tcBorders>
              <w:right w:val="single" w:color="auto" w:sz="8" w:space="0"/>
            </w:tcBorders>
            <w:shd w:val="clear" w:color="auto" w:fill="auto"/>
            <w:vAlign w:val="center"/>
          </w:tcPr>
          <w:p w14:paraId="01E25C6C">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6400584D">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国际物流</w:t>
            </w:r>
          </w:p>
        </w:tc>
        <w:tc>
          <w:tcPr>
            <w:tcW w:w="4402" w:type="dxa"/>
            <w:tcBorders>
              <w:top w:val="single" w:color="auto" w:sz="4" w:space="0"/>
              <w:left w:val="single" w:color="auto" w:sz="8" w:space="0"/>
              <w:bottom w:val="single" w:color="auto" w:sz="4" w:space="0"/>
            </w:tcBorders>
            <w:shd w:val="clear" w:color="auto" w:fill="auto"/>
            <w:vAlign w:val="center"/>
          </w:tcPr>
          <w:p w14:paraId="7C485D3C">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07E55BF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269" w:hRule="atLeast"/>
          <w:jc w:val="center"/>
        </w:trPr>
        <w:tc>
          <w:tcPr>
            <w:tcW w:w="2395" w:type="dxa"/>
            <w:vMerge w:val="continue"/>
            <w:tcBorders>
              <w:right w:val="single" w:color="auto" w:sz="8" w:space="0"/>
            </w:tcBorders>
            <w:shd w:val="clear" w:color="auto" w:fill="auto"/>
            <w:vAlign w:val="center"/>
          </w:tcPr>
          <w:p w14:paraId="19498769">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34DC7706">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广告</w:t>
            </w:r>
          </w:p>
        </w:tc>
        <w:tc>
          <w:tcPr>
            <w:tcW w:w="4402" w:type="dxa"/>
            <w:tcBorders>
              <w:top w:val="single" w:color="auto" w:sz="4" w:space="0"/>
              <w:left w:val="single" w:color="auto" w:sz="8" w:space="0"/>
              <w:bottom w:val="single" w:color="auto" w:sz="4" w:space="0"/>
            </w:tcBorders>
            <w:shd w:val="clear" w:color="auto" w:fill="auto"/>
            <w:vAlign w:val="center"/>
          </w:tcPr>
          <w:p w14:paraId="08CEFDA5">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4DB32A5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116" w:hRule="atLeast"/>
          <w:jc w:val="center"/>
        </w:trPr>
        <w:tc>
          <w:tcPr>
            <w:tcW w:w="2395" w:type="dxa"/>
            <w:vMerge w:val="continue"/>
            <w:tcBorders>
              <w:right w:val="single" w:color="auto" w:sz="8" w:space="0"/>
            </w:tcBorders>
            <w:shd w:val="clear" w:color="auto" w:fill="auto"/>
            <w:vAlign w:val="center"/>
          </w:tcPr>
          <w:p w14:paraId="0505CEFA">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4AE201CB">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航空机票</w:t>
            </w:r>
          </w:p>
        </w:tc>
        <w:tc>
          <w:tcPr>
            <w:tcW w:w="4402" w:type="dxa"/>
            <w:tcBorders>
              <w:top w:val="single" w:color="auto" w:sz="4" w:space="0"/>
              <w:left w:val="single" w:color="auto" w:sz="8" w:space="0"/>
              <w:bottom w:val="single" w:color="auto" w:sz="4" w:space="0"/>
            </w:tcBorders>
            <w:shd w:val="clear" w:color="auto" w:fill="auto"/>
            <w:vAlign w:val="center"/>
          </w:tcPr>
          <w:p w14:paraId="5B6BB2B1">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7140B2A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162" w:hRule="atLeast"/>
          <w:jc w:val="center"/>
        </w:trPr>
        <w:tc>
          <w:tcPr>
            <w:tcW w:w="2395" w:type="dxa"/>
            <w:vMerge w:val="continue"/>
            <w:tcBorders>
              <w:right w:val="single" w:color="auto" w:sz="8" w:space="0"/>
            </w:tcBorders>
            <w:shd w:val="clear" w:color="auto" w:fill="auto"/>
            <w:vAlign w:val="center"/>
          </w:tcPr>
          <w:p w14:paraId="6D6CE123">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0505F421">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留学教育</w:t>
            </w:r>
          </w:p>
        </w:tc>
        <w:tc>
          <w:tcPr>
            <w:tcW w:w="4402" w:type="dxa"/>
            <w:tcBorders>
              <w:top w:val="single" w:color="auto" w:sz="4" w:space="0"/>
              <w:left w:val="single" w:color="auto" w:sz="8" w:space="0"/>
              <w:bottom w:val="single" w:color="auto" w:sz="4" w:space="0"/>
            </w:tcBorders>
            <w:shd w:val="clear" w:color="auto" w:fill="auto"/>
            <w:vAlign w:val="center"/>
          </w:tcPr>
          <w:p w14:paraId="50734591">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616D2EE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271" w:hRule="atLeast"/>
          <w:jc w:val="center"/>
        </w:trPr>
        <w:tc>
          <w:tcPr>
            <w:tcW w:w="2395" w:type="dxa"/>
            <w:vMerge w:val="continue"/>
            <w:tcBorders>
              <w:right w:val="single" w:color="auto" w:sz="8" w:space="0"/>
            </w:tcBorders>
            <w:shd w:val="clear" w:color="auto" w:fill="auto"/>
            <w:vAlign w:val="center"/>
          </w:tcPr>
          <w:p w14:paraId="5A1193FE">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6F675874">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国际医疗</w:t>
            </w:r>
          </w:p>
        </w:tc>
        <w:tc>
          <w:tcPr>
            <w:tcW w:w="4402" w:type="dxa"/>
            <w:tcBorders>
              <w:top w:val="single" w:color="auto" w:sz="4" w:space="0"/>
              <w:left w:val="single" w:color="auto" w:sz="8" w:space="0"/>
              <w:bottom w:val="single" w:color="auto" w:sz="4" w:space="0"/>
            </w:tcBorders>
            <w:shd w:val="clear" w:color="auto" w:fill="auto"/>
            <w:vAlign w:val="center"/>
          </w:tcPr>
          <w:p w14:paraId="6AB94A88">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5CD4133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76" w:hRule="atLeast"/>
          <w:jc w:val="center"/>
        </w:trPr>
        <w:tc>
          <w:tcPr>
            <w:tcW w:w="2395" w:type="dxa"/>
            <w:vMerge w:val="continue"/>
            <w:tcBorders>
              <w:right w:val="single" w:color="auto" w:sz="8" w:space="0"/>
            </w:tcBorders>
            <w:shd w:val="clear" w:color="auto" w:fill="auto"/>
            <w:vAlign w:val="center"/>
          </w:tcPr>
          <w:p w14:paraId="34AE2D0A">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1902A48A">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电信服务</w:t>
            </w:r>
          </w:p>
        </w:tc>
        <w:tc>
          <w:tcPr>
            <w:tcW w:w="4402" w:type="dxa"/>
            <w:tcBorders>
              <w:top w:val="single" w:color="auto" w:sz="4" w:space="0"/>
              <w:left w:val="single" w:color="auto" w:sz="8" w:space="0"/>
              <w:bottom w:val="single" w:color="auto" w:sz="4" w:space="0"/>
            </w:tcBorders>
            <w:shd w:val="clear" w:color="auto" w:fill="auto"/>
            <w:vAlign w:val="center"/>
          </w:tcPr>
          <w:p w14:paraId="156EF5B0">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05E2295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183" w:hRule="atLeast"/>
          <w:jc w:val="center"/>
        </w:trPr>
        <w:tc>
          <w:tcPr>
            <w:tcW w:w="2395" w:type="dxa"/>
            <w:vMerge w:val="continue"/>
            <w:tcBorders>
              <w:right w:val="single" w:color="auto" w:sz="8" w:space="0"/>
            </w:tcBorders>
            <w:shd w:val="clear" w:color="auto" w:fill="auto"/>
            <w:vAlign w:val="center"/>
          </w:tcPr>
          <w:p w14:paraId="4EF1FA40">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341A37DA">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旅游服务</w:t>
            </w:r>
          </w:p>
        </w:tc>
        <w:tc>
          <w:tcPr>
            <w:tcW w:w="4402" w:type="dxa"/>
            <w:tcBorders>
              <w:top w:val="single" w:color="auto" w:sz="4" w:space="0"/>
              <w:left w:val="single" w:color="auto" w:sz="8" w:space="0"/>
              <w:bottom w:val="single" w:color="auto" w:sz="4" w:space="0"/>
            </w:tcBorders>
            <w:shd w:val="clear" w:color="auto" w:fill="auto"/>
            <w:vAlign w:val="center"/>
          </w:tcPr>
          <w:p w14:paraId="6CDD6E6C">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2CFCFE9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97" w:hRule="atLeast"/>
          <w:jc w:val="center"/>
        </w:trPr>
        <w:tc>
          <w:tcPr>
            <w:tcW w:w="2395" w:type="dxa"/>
            <w:vMerge w:val="continue"/>
            <w:tcBorders>
              <w:right w:val="single" w:color="auto" w:sz="8" w:space="0"/>
            </w:tcBorders>
            <w:shd w:val="clear" w:color="auto" w:fill="auto"/>
            <w:vAlign w:val="center"/>
          </w:tcPr>
          <w:p w14:paraId="505884B5">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6EE803FE">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lang w:eastAsia="zh-CN"/>
              </w:rPr>
              <w:t>软件</w:t>
            </w:r>
            <w:r>
              <w:rPr>
                <w:rFonts w:hint="eastAsia" w:ascii="华文细黑" w:hAnsi="华文细黑" w:eastAsia="华文细黑"/>
                <w:szCs w:val="21"/>
              </w:rPr>
              <w:t>服务</w:t>
            </w:r>
          </w:p>
        </w:tc>
        <w:tc>
          <w:tcPr>
            <w:tcW w:w="4402" w:type="dxa"/>
            <w:tcBorders>
              <w:top w:val="single" w:color="auto" w:sz="4" w:space="0"/>
              <w:left w:val="single" w:color="auto" w:sz="8" w:space="0"/>
              <w:bottom w:val="single" w:color="auto" w:sz="8" w:space="0"/>
            </w:tcBorders>
            <w:shd w:val="clear" w:color="auto" w:fill="auto"/>
            <w:vAlign w:val="center"/>
          </w:tcPr>
          <w:p w14:paraId="55EE2B39">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495A0D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00C02C12">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67676503">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rPr>
              <w:t>□</w:t>
            </w:r>
            <w:r>
              <w:rPr>
                <w:rFonts w:hint="eastAsia" w:ascii="华文细黑" w:hAnsi="华文细黑" w:eastAsia="华文细黑"/>
                <w:szCs w:val="21"/>
              </w:rPr>
              <w:t>一般贸易</w:t>
            </w:r>
          </w:p>
        </w:tc>
        <w:tc>
          <w:tcPr>
            <w:tcW w:w="4402" w:type="dxa"/>
            <w:tcBorders>
              <w:top w:val="single" w:color="auto" w:sz="8" w:space="0"/>
              <w:left w:val="single" w:color="auto" w:sz="8" w:space="0"/>
              <w:bottom w:val="single" w:color="auto" w:sz="8" w:space="0"/>
            </w:tcBorders>
            <w:shd w:val="clear" w:color="auto" w:fill="auto"/>
            <w:vAlign w:val="center"/>
          </w:tcPr>
          <w:p w14:paraId="049AFFF5">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0A3D50D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55695A0D">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45B088E7">
            <w:pPr>
              <w:widowControl/>
              <w:spacing w:line="240" w:lineRule="exact"/>
              <w:textAlignment w:val="center"/>
            </w:pPr>
            <w:r>
              <w:rPr>
                <w:rFonts w:hint="eastAsia"/>
              </w:rPr>
              <w:t>□</w:t>
            </w:r>
            <w:r>
              <w:rPr>
                <w:rFonts w:hint="eastAsia"/>
                <w:lang w:eastAsia="zh-CN"/>
              </w:rPr>
              <w:t>教育服务</w:t>
            </w:r>
          </w:p>
        </w:tc>
        <w:tc>
          <w:tcPr>
            <w:tcW w:w="4402" w:type="dxa"/>
            <w:tcBorders>
              <w:top w:val="single" w:color="auto" w:sz="8" w:space="0"/>
              <w:left w:val="single" w:color="auto" w:sz="8" w:space="0"/>
              <w:bottom w:val="single" w:color="auto" w:sz="8" w:space="0"/>
            </w:tcBorders>
            <w:shd w:val="clear" w:color="auto" w:fill="auto"/>
            <w:vAlign w:val="center"/>
          </w:tcPr>
          <w:p w14:paraId="2080DA24">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33D03DF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bottom w:val="single" w:color="auto" w:sz="8" w:space="0"/>
              <w:right w:val="single" w:color="auto" w:sz="8" w:space="0"/>
            </w:tcBorders>
            <w:shd w:val="clear" w:color="auto" w:fill="auto"/>
            <w:vAlign w:val="center"/>
          </w:tcPr>
          <w:p w14:paraId="2B7F600E">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4" w:space="0"/>
              <w:left w:val="single" w:color="auto" w:sz="8" w:space="0"/>
              <w:bottom w:val="single" w:color="auto" w:sz="4" w:space="0"/>
              <w:right w:val="single" w:color="auto" w:sz="8" w:space="0"/>
            </w:tcBorders>
            <w:shd w:val="clear" w:color="auto" w:fill="auto"/>
            <w:vAlign w:val="center"/>
          </w:tcPr>
          <w:p w14:paraId="5094BFBE">
            <w:pPr>
              <w:widowControl/>
              <w:spacing w:line="240" w:lineRule="exact"/>
              <w:textAlignment w:val="center"/>
            </w:pPr>
            <w:r>
              <w:rPr>
                <w:rFonts w:hint="eastAsia"/>
              </w:rPr>
              <w:t>□</w:t>
            </w:r>
            <w:r>
              <w:rPr>
                <w:rFonts w:hint="eastAsia"/>
                <w:lang w:eastAsia="zh-CN"/>
              </w:rPr>
              <w:t>保险服务</w:t>
            </w:r>
          </w:p>
        </w:tc>
        <w:tc>
          <w:tcPr>
            <w:tcW w:w="4402" w:type="dxa"/>
            <w:tcBorders>
              <w:top w:val="single" w:color="auto" w:sz="8" w:space="0"/>
              <w:left w:val="single" w:color="auto" w:sz="8" w:space="0"/>
              <w:bottom w:val="single" w:color="auto" w:sz="8" w:space="0"/>
            </w:tcBorders>
            <w:shd w:val="clear" w:color="auto" w:fill="auto"/>
            <w:vAlign w:val="center"/>
          </w:tcPr>
          <w:p w14:paraId="758CC0E0">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w:t>
            </w: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37E1DFF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0" w:hRule="atLeast"/>
          <w:jc w:val="center"/>
        </w:trPr>
        <w:tc>
          <w:tcPr>
            <w:tcW w:w="9207" w:type="dxa"/>
            <w:gridSpan w:val="3"/>
            <w:tcBorders>
              <w:top w:val="single" w:color="auto" w:sz="8" w:space="0"/>
              <w:bottom w:val="single" w:color="auto" w:sz="8" w:space="0"/>
            </w:tcBorders>
            <w:shd w:val="clear" w:color="auto" w:fill="BFBFBF"/>
            <w:vAlign w:val="center"/>
          </w:tcPr>
          <w:p w14:paraId="1EB59A01">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b/>
                <w:color w:val="000000"/>
                <w:sz w:val="21"/>
                <w:szCs w:val="21"/>
                <w:lang w:bidi="ar"/>
              </w:rPr>
              <w:t>跨境收款产品</w:t>
            </w:r>
          </w:p>
        </w:tc>
      </w:tr>
      <w:tr w14:paraId="1E17483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tcBorders>
              <w:top w:val="single" w:color="auto" w:sz="8" w:space="0"/>
              <w:bottom w:val="single" w:color="auto" w:sz="8" w:space="0"/>
              <w:right w:val="single" w:color="auto" w:sz="8" w:space="0"/>
            </w:tcBorders>
            <w:shd w:val="clear" w:color="auto" w:fill="F1F1F1" w:themeFill="background1" w:themeFillShade="F2"/>
            <w:vAlign w:val="center"/>
          </w:tcPr>
          <w:p w14:paraId="6F5B05FC">
            <w:pPr>
              <w:widowControl/>
              <w:spacing w:line="3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服务内容</w:t>
            </w:r>
          </w:p>
        </w:tc>
        <w:tc>
          <w:tcPr>
            <w:tcW w:w="2410" w:type="dxa"/>
            <w:tcBorders>
              <w:top w:val="single" w:color="auto" w:sz="8" w:space="0"/>
              <w:left w:val="single" w:color="auto" w:sz="8" w:space="0"/>
              <w:bottom w:val="single" w:color="auto" w:sz="8" w:space="0"/>
              <w:right w:val="single" w:color="auto" w:sz="8" w:space="0"/>
            </w:tcBorders>
            <w:shd w:val="clear" w:color="auto" w:fill="F1F1F1" w:themeFill="background1" w:themeFillShade="F2"/>
            <w:vAlign w:val="center"/>
          </w:tcPr>
          <w:p w14:paraId="12019846">
            <w:pPr>
              <w:widowControl/>
              <w:spacing w:line="3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服务子项</w:t>
            </w:r>
          </w:p>
        </w:tc>
        <w:tc>
          <w:tcPr>
            <w:tcW w:w="4402" w:type="dxa"/>
            <w:tcBorders>
              <w:top w:val="single" w:color="auto" w:sz="8" w:space="0"/>
              <w:left w:val="single" w:color="auto" w:sz="8" w:space="0"/>
              <w:bottom w:val="single" w:color="auto" w:sz="8" w:space="0"/>
            </w:tcBorders>
            <w:shd w:val="clear" w:color="auto" w:fill="F1F1F1" w:themeFill="background1" w:themeFillShade="F2"/>
            <w:vAlign w:val="center"/>
          </w:tcPr>
          <w:p w14:paraId="623B757E">
            <w:pPr>
              <w:spacing w:line="3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服务费用标准</w:t>
            </w:r>
          </w:p>
        </w:tc>
      </w:tr>
      <w:tr w14:paraId="28325C1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restart"/>
            <w:tcBorders>
              <w:top w:val="single" w:color="auto" w:sz="8" w:space="0"/>
              <w:right w:val="single" w:color="auto" w:sz="8" w:space="0"/>
            </w:tcBorders>
            <w:shd w:val="clear" w:color="auto" w:fill="auto"/>
            <w:vAlign w:val="center"/>
          </w:tcPr>
          <w:p w14:paraId="7E3AB0A8">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eastAsia="zh-CN" w:bidi="ar"/>
              </w:rPr>
              <w:t>□跨境收款</w:t>
            </w: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2C982A33">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□电商货贸B2C/B2B</w:t>
            </w:r>
          </w:p>
        </w:tc>
        <w:tc>
          <w:tcPr>
            <w:tcW w:w="4402" w:type="dxa"/>
            <w:tcBorders>
              <w:top w:val="single" w:color="auto" w:sz="8" w:space="0"/>
              <w:left w:val="single" w:color="auto" w:sz="8" w:space="0"/>
              <w:bottom w:val="single" w:color="auto" w:sz="8" w:space="0"/>
            </w:tcBorders>
            <w:shd w:val="clear" w:color="auto" w:fill="auto"/>
            <w:vAlign w:val="center"/>
          </w:tcPr>
          <w:p w14:paraId="6497A218">
            <w:pPr>
              <w:widowControl/>
              <w:spacing w:line="240" w:lineRule="exact"/>
              <w:jc w:val="both"/>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4BA07DD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2F02E0DA">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C78DB85">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一般贸易</w:t>
            </w:r>
          </w:p>
        </w:tc>
        <w:tc>
          <w:tcPr>
            <w:tcW w:w="4402" w:type="dxa"/>
            <w:tcBorders>
              <w:top w:val="single" w:color="auto" w:sz="8" w:space="0"/>
              <w:left w:val="single" w:color="auto" w:sz="8" w:space="0"/>
              <w:bottom w:val="single" w:color="auto" w:sz="8" w:space="0"/>
            </w:tcBorders>
            <w:shd w:val="clear" w:color="auto" w:fill="auto"/>
            <w:vAlign w:val="center"/>
          </w:tcPr>
          <w:p w14:paraId="638A4C5D">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481A628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6707F306">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3703122F">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sz w:val="21"/>
                <w:szCs w:val="21"/>
                <w:lang w:eastAsia="zh-CN" w:bidi="ar"/>
              </w:rPr>
              <w:t>市场采购</w:t>
            </w:r>
          </w:p>
        </w:tc>
        <w:tc>
          <w:tcPr>
            <w:tcW w:w="4402" w:type="dxa"/>
            <w:tcBorders>
              <w:top w:val="single" w:color="auto" w:sz="8" w:space="0"/>
              <w:left w:val="single" w:color="auto" w:sz="8" w:space="0"/>
              <w:bottom w:val="single" w:color="auto" w:sz="8" w:space="0"/>
            </w:tcBorders>
            <w:shd w:val="clear" w:color="auto" w:fill="auto"/>
            <w:vAlign w:val="center"/>
          </w:tcPr>
          <w:p w14:paraId="0BDD6939">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457F9ED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3741F4E9">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785D66C2">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计算机软件/游戏</w:t>
            </w:r>
          </w:p>
        </w:tc>
        <w:tc>
          <w:tcPr>
            <w:tcW w:w="4402" w:type="dxa"/>
            <w:tcBorders>
              <w:top w:val="single" w:color="auto" w:sz="8" w:space="0"/>
              <w:left w:val="single" w:color="auto" w:sz="8" w:space="0"/>
              <w:bottom w:val="single" w:color="auto" w:sz="8" w:space="0"/>
            </w:tcBorders>
            <w:shd w:val="clear" w:color="auto" w:fill="auto"/>
            <w:vAlign w:val="center"/>
          </w:tcPr>
          <w:p w14:paraId="323C11B2">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620690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4BFCD13B">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3CF39056">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□货贸或服务交易佣金</w:t>
            </w:r>
          </w:p>
        </w:tc>
        <w:tc>
          <w:tcPr>
            <w:tcW w:w="4402" w:type="dxa"/>
            <w:tcBorders>
              <w:top w:val="single" w:color="auto" w:sz="8" w:space="0"/>
              <w:left w:val="single" w:color="auto" w:sz="8" w:space="0"/>
              <w:bottom w:val="single" w:color="auto" w:sz="8" w:space="0"/>
            </w:tcBorders>
            <w:shd w:val="clear" w:color="auto" w:fill="auto"/>
            <w:vAlign w:val="center"/>
          </w:tcPr>
          <w:p w14:paraId="66F50D27">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2580C05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30D5BD41">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2CA3537">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旅游服务</w:t>
            </w:r>
          </w:p>
        </w:tc>
        <w:tc>
          <w:tcPr>
            <w:tcW w:w="4402" w:type="dxa"/>
            <w:tcBorders>
              <w:top w:val="single" w:color="auto" w:sz="8" w:space="0"/>
              <w:left w:val="single" w:color="auto" w:sz="8" w:space="0"/>
              <w:bottom w:val="single" w:color="auto" w:sz="8" w:space="0"/>
            </w:tcBorders>
            <w:shd w:val="clear" w:color="auto" w:fill="auto"/>
            <w:vAlign w:val="center"/>
          </w:tcPr>
          <w:p w14:paraId="72684735">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27594C9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57601F86">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DA647ED">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国际物流</w:t>
            </w:r>
          </w:p>
        </w:tc>
        <w:tc>
          <w:tcPr>
            <w:tcW w:w="4402" w:type="dxa"/>
            <w:tcBorders>
              <w:top w:val="single" w:color="auto" w:sz="8" w:space="0"/>
              <w:left w:val="single" w:color="auto" w:sz="8" w:space="0"/>
              <w:bottom w:val="single" w:color="auto" w:sz="8" w:space="0"/>
            </w:tcBorders>
            <w:shd w:val="clear" w:color="auto" w:fill="auto"/>
            <w:vAlign w:val="center"/>
          </w:tcPr>
          <w:p w14:paraId="0F220653">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109F5C6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27DCC7D4">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5BEACA9C">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广告</w:t>
            </w:r>
          </w:p>
        </w:tc>
        <w:tc>
          <w:tcPr>
            <w:tcW w:w="4402" w:type="dxa"/>
            <w:tcBorders>
              <w:top w:val="single" w:color="auto" w:sz="8" w:space="0"/>
              <w:left w:val="single" w:color="auto" w:sz="8" w:space="0"/>
              <w:bottom w:val="single" w:color="auto" w:sz="8" w:space="0"/>
            </w:tcBorders>
            <w:shd w:val="clear" w:color="auto" w:fill="auto"/>
            <w:vAlign w:val="center"/>
          </w:tcPr>
          <w:p w14:paraId="596B9E28">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09BFCE3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4CA94053">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415869F">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文化娱乐</w:t>
            </w:r>
          </w:p>
        </w:tc>
        <w:tc>
          <w:tcPr>
            <w:tcW w:w="4402" w:type="dxa"/>
            <w:tcBorders>
              <w:top w:val="single" w:color="auto" w:sz="8" w:space="0"/>
              <w:left w:val="single" w:color="auto" w:sz="8" w:space="0"/>
              <w:bottom w:val="single" w:color="auto" w:sz="8" w:space="0"/>
            </w:tcBorders>
            <w:shd w:val="clear" w:color="auto" w:fill="auto"/>
            <w:vAlign w:val="center"/>
          </w:tcPr>
          <w:p w14:paraId="18DA4CC5">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185C1B1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1E574470">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4E94D77">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视听服务</w:t>
            </w:r>
          </w:p>
        </w:tc>
        <w:tc>
          <w:tcPr>
            <w:tcW w:w="4402" w:type="dxa"/>
            <w:tcBorders>
              <w:top w:val="single" w:color="auto" w:sz="8" w:space="0"/>
              <w:left w:val="single" w:color="auto" w:sz="8" w:space="0"/>
              <w:bottom w:val="single" w:color="auto" w:sz="8" w:space="0"/>
            </w:tcBorders>
            <w:shd w:val="clear" w:color="auto" w:fill="auto"/>
            <w:vAlign w:val="center"/>
          </w:tcPr>
          <w:p w14:paraId="554D7A5D">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283E58B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20887BB4">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2EFE7844">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国际会展</w:t>
            </w:r>
          </w:p>
        </w:tc>
        <w:tc>
          <w:tcPr>
            <w:tcW w:w="4402" w:type="dxa"/>
            <w:tcBorders>
              <w:top w:val="single" w:color="auto" w:sz="8" w:space="0"/>
              <w:left w:val="single" w:color="auto" w:sz="8" w:space="0"/>
              <w:bottom w:val="single" w:color="auto" w:sz="8" w:space="0"/>
            </w:tcBorders>
            <w:shd w:val="clear" w:color="auto" w:fill="auto"/>
            <w:vAlign w:val="center"/>
          </w:tcPr>
          <w:p w14:paraId="7358944E">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455B2E5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78E38DCB">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4CC39331">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留学教育</w:t>
            </w:r>
          </w:p>
        </w:tc>
        <w:tc>
          <w:tcPr>
            <w:tcW w:w="4402" w:type="dxa"/>
            <w:tcBorders>
              <w:top w:val="single" w:color="auto" w:sz="8" w:space="0"/>
              <w:left w:val="single" w:color="auto" w:sz="8" w:space="0"/>
              <w:bottom w:val="single" w:color="auto" w:sz="8" w:space="0"/>
            </w:tcBorders>
            <w:shd w:val="clear" w:color="auto" w:fill="auto"/>
            <w:vAlign w:val="center"/>
          </w:tcPr>
          <w:p w14:paraId="05F28EC1">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47629B3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right w:val="single" w:color="auto" w:sz="8" w:space="0"/>
            </w:tcBorders>
            <w:shd w:val="clear" w:color="auto" w:fill="auto"/>
            <w:vAlign w:val="center"/>
          </w:tcPr>
          <w:p w14:paraId="7ADF33C8">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5FD279CA">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薪酬款</w:t>
            </w:r>
          </w:p>
        </w:tc>
        <w:tc>
          <w:tcPr>
            <w:tcW w:w="4402" w:type="dxa"/>
            <w:tcBorders>
              <w:top w:val="single" w:color="auto" w:sz="8" w:space="0"/>
              <w:left w:val="single" w:color="auto" w:sz="8" w:space="0"/>
              <w:bottom w:val="single" w:color="auto" w:sz="8" w:space="0"/>
            </w:tcBorders>
            <w:shd w:val="clear" w:color="auto" w:fill="auto"/>
            <w:vAlign w:val="center"/>
          </w:tcPr>
          <w:p w14:paraId="28971739">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6BCBFE0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57" w:hRule="atLeast"/>
          <w:jc w:val="center"/>
        </w:trPr>
        <w:tc>
          <w:tcPr>
            <w:tcW w:w="2395" w:type="dxa"/>
            <w:vMerge w:val="continue"/>
            <w:tcBorders>
              <w:bottom w:val="single" w:color="auto" w:sz="8" w:space="0"/>
              <w:right w:val="single" w:color="auto" w:sz="8" w:space="0"/>
            </w:tcBorders>
            <w:shd w:val="clear" w:color="auto" w:fill="auto"/>
            <w:vAlign w:val="center"/>
          </w:tcPr>
          <w:p w14:paraId="2CE90E41">
            <w:pPr>
              <w:widowControl/>
              <w:spacing w:line="240" w:lineRule="exact"/>
              <w:textAlignment w:val="center"/>
              <w:rPr>
                <w:rFonts w:hint="eastAsia" w:ascii="新宋体" w:hAnsi="新宋体" w:eastAsia="新宋体" w:cs="新宋体"/>
                <w:color w:val="000000"/>
                <w:sz w:val="21"/>
                <w:szCs w:val="21"/>
                <w:lang w:eastAsia="zh-CN"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03D4B0D4">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赡家款</w:t>
            </w:r>
          </w:p>
        </w:tc>
        <w:tc>
          <w:tcPr>
            <w:tcW w:w="4402" w:type="dxa"/>
            <w:tcBorders>
              <w:top w:val="single" w:color="auto" w:sz="8" w:space="0"/>
              <w:left w:val="single" w:color="auto" w:sz="8" w:space="0"/>
              <w:bottom w:val="single" w:color="auto" w:sz="8" w:space="0"/>
            </w:tcBorders>
            <w:shd w:val="clear" w:color="auto" w:fill="auto"/>
            <w:vAlign w:val="center"/>
          </w:tcPr>
          <w:p w14:paraId="119066FF">
            <w:pPr>
              <w:widowControl/>
              <w:spacing w:line="240" w:lineRule="exact"/>
              <w:jc w:val="both"/>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p>
        </w:tc>
      </w:tr>
      <w:tr w14:paraId="4585721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9207" w:type="dxa"/>
            <w:gridSpan w:val="3"/>
            <w:tcBorders>
              <w:top w:val="single" w:color="auto" w:sz="8" w:space="0"/>
              <w:bottom w:val="single" w:color="auto" w:sz="8" w:space="0"/>
            </w:tcBorders>
            <w:shd w:val="clear" w:color="auto" w:fill="B2B2B2"/>
            <w:vAlign w:val="bottom"/>
          </w:tcPr>
          <w:p w14:paraId="0BDD57FE">
            <w:pPr>
              <w:widowControl/>
              <w:spacing w:line="360" w:lineRule="exact"/>
              <w:textAlignment w:val="bottom"/>
              <w:rPr>
                <w:rFonts w:hint="eastAsia" w:ascii="新宋体" w:hAnsi="新宋体" w:eastAsia="新宋体" w:cs="新宋体"/>
                <w:color w:val="000000"/>
                <w:sz w:val="21"/>
                <w:szCs w:val="21"/>
              </w:rPr>
            </w:pPr>
            <w:r>
              <w:rPr>
                <w:rFonts w:hint="eastAsia" w:ascii="新宋体" w:hAnsi="新宋体" w:eastAsia="新宋体" w:cs="新宋体"/>
                <w:b/>
                <w:color w:val="000000"/>
                <w:sz w:val="21"/>
                <w:szCs w:val="21"/>
                <w:lang w:bidi="ar"/>
              </w:rPr>
              <w:t>境内人民币付款产品</w:t>
            </w:r>
          </w:p>
        </w:tc>
      </w:tr>
      <w:tr w14:paraId="716EF6C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tcBorders>
              <w:top w:val="single" w:color="auto" w:sz="8" w:space="0"/>
              <w:bottom w:val="single" w:color="auto" w:sz="8" w:space="0"/>
              <w:right w:val="single" w:color="auto" w:sz="8" w:space="0"/>
            </w:tcBorders>
            <w:shd w:val="clear" w:color="auto" w:fill="F1F1F1" w:themeFill="background1" w:themeFillShade="F2"/>
            <w:vAlign w:val="center"/>
          </w:tcPr>
          <w:p w14:paraId="2B765C0F">
            <w:pPr>
              <w:widowControl/>
              <w:spacing w:line="200" w:lineRule="exact"/>
              <w:jc w:val="center"/>
              <w:textAlignment w:val="center"/>
              <w:rPr>
                <w:rFonts w:hint="eastAsia" w:ascii="新宋体" w:hAnsi="新宋体" w:eastAsia="新宋体" w:cs="新宋体"/>
                <w:b/>
                <w:color w:val="000000"/>
                <w:sz w:val="21"/>
                <w:szCs w:val="21"/>
                <w:lang w:bidi="ar"/>
              </w:rPr>
            </w:pPr>
            <w:r>
              <w:rPr>
                <w:rFonts w:hint="eastAsia" w:ascii="新宋体" w:hAnsi="新宋体" w:eastAsia="新宋体" w:cs="新宋体"/>
                <w:b/>
                <w:color w:val="000000"/>
                <w:sz w:val="21"/>
                <w:szCs w:val="21"/>
                <w:lang w:eastAsia="zh-CN" w:bidi="ar"/>
              </w:rPr>
              <w:t>服务内容</w:t>
            </w:r>
          </w:p>
        </w:tc>
        <w:tc>
          <w:tcPr>
            <w:tcW w:w="2410" w:type="dxa"/>
            <w:tcBorders>
              <w:top w:val="single" w:color="auto" w:sz="8" w:space="0"/>
              <w:left w:val="single" w:color="auto" w:sz="8" w:space="0"/>
              <w:bottom w:val="single" w:color="auto" w:sz="8" w:space="0"/>
              <w:right w:val="single" w:color="auto" w:sz="8" w:space="0"/>
            </w:tcBorders>
            <w:shd w:val="clear" w:color="auto" w:fill="F1F1F1" w:themeFill="background1" w:themeFillShade="F2"/>
            <w:vAlign w:val="center"/>
          </w:tcPr>
          <w:p w14:paraId="76B66969">
            <w:pPr>
              <w:widowControl/>
              <w:spacing w:line="200" w:lineRule="exact"/>
              <w:jc w:val="center"/>
              <w:textAlignment w:val="center"/>
              <w:rPr>
                <w:rFonts w:hint="eastAsia" w:ascii="新宋体" w:hAnsi="新宋体" w:eastAsia="新宋体" w:cs="新宋体"/>
                <w:color w:val="000000"/>
                <w:sz w:val="21"/>
                <w:szCs w:val="21"/>
                <w:lang w:bidi="ar"/>
              </w:rPr>
            </w:pPr>
            <w:r>
              <w:rPr>
                <w:rFonts w:hint="eastAsia" w:ascii="新宋体" w:hAnsi="新宋体" w:eastAsia="新宋体" w:cs="新宋体"/>
                <w:b/>
                <w:color w:val="000000"/>
                <w:sz w:val="21"/>
                <w:szCs w:val="21"/>
                <w:lang w:eastAsia="zh-CN" w:bidi="ar"/>
              </w:rPr>
              <w:t>服务子项</w:t>
            </w:r>
          </w:p>
        </w:tc>
        <w:tc>
          <w:tcPr>
            <w:tcW w:w="4402" w:type="dxa"/>
            <w:tcBorders>
              <w:top w:val="single" w:color="auto" w:sz="8" w:space="0"/>
              <w:left w:val="single" w:color="auto" w:sz="8" w:space="0"/>
              <w:bottom w:val="single" w:color="auto" w:sz="8" w:space="0"/>
            </w:tcBorders>
            <w:shd w:val="clear" w:color="auto" w:fill="F1F1F1" w:themeFill="background1" w:themeFillShade="F2"/>
            <w:vAlign w:val="center"/>
          </w:tcPr>
          <w:p w14:paraId="4EF6E9AA">
            <w:pPr>
              <w:spacing w:line="200" w:lineRule="exact"/>
              <w:jc w:val="center"/>
              <w:textAlignment w:val="center"/>
              <w:rPr>
                <w:rFonts w:hint="eastAsia" w:ascii="新宋体" w:hAnsi="新宋体" w:eastAsia="新宋体" w:cs="新宋体"/>
                <w:color w:val="000000"/>
                <w:sz w:val="21"/>
                <w:szCs w:val="21"/>
              </w:rPr>
            </w:pPr>
            <w:r>
              <w:rPr>
                <w:rFonts w:hint="eastAsia" w:ascii="新宋体" w:hAnsi="新宋体" w:eastAsia="新宋体" w:cs="新宋体"/>
                <w:b/>
                <w:color w:val="000000"/>
                <w:sz w:val="21"/>
                <w:szCs w:val="21"/>
                <w:lang w:eastAsia="zh-CN" w:bidi="ar"/>
              </w:rPr>
              <w:t>服务费用标准</w:t>
            </w:r>
          </w:p>
        </w:tc>
      </w:tr>
      <w:tr w14:paraId="570B75A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restart"/>
            <w:tcBorders>
              <w:top w:val="single" w:color="auto" w:sz="8" w:space="0"/>
              <w:right w:val="single" w:color="auto" w:sz="8" w:space="0"/>
            </w:tcBorders>
            <w:shd w:val="clear" w:color="auto" w:fill="auto"/>
            <w:vAlign w:val="center"/>
          </w:tcPr>
          <w:p w14:paraId="48FEDA5C">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境内</w:t>
            </w:r>
            <w:r>
              <w:rPr>
                <w:rFonts w:hint="eastAsia" w:ascii="新宋体" w:hAnsi="新宋体" w:eastAsia="新宋体" w:cs="新宋体"/>
                <w:color w:val="000000"/>
                <w:sz w:val="21"/>
                <w:szCs w:val="21"/>
                <w:lang w:bidi="ar"/>
              </w:rPr>
              <w:t>付款到银行</w:t>
            </w: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740BC4C6">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单笔</w:t>
            </w:r>
          </w:p>
        </w:tc>
        <w:tc>
          <w:tcPr>
            <w:tcW w:w="4402" w:type="dxa"/>
            <w:tcBorders>
              <w:top w:val="single" w:color="auto" w:sz="8" w:space="0"/>
              <w:left w:val="single" w:color="auto" w:sz="8" w:space="0"/>
              <w:bottom w:val="single" w:color="auto" w:sz="8" w:space="0"/>
            </w:tcBorders>
            <w:shd w:val="clear" w:color="auto" w:fill="auto"/>
            <w:vAlign w:val="center"/>
          </w:tcPr>
          <w:p w14:paraId="0288D978">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53EDD4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bottom w:val="single" w:color="auto" w:sz="8" w:space="0"/>
              <w:right w:val="single" w:color="auto" w:sz="8" w:space="0"/>
            </w:tcBorders>
            <w:shd w:val="clear" w:color="auto" w:fill="auto"/>
            <w:vAlign w:val="center"/>
          </w:tcPr>
          <w:p w14:paraId="6DAE910B">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5CFF3500">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批量</w:t>
            </w:r>
          </w:p>
        </w:tc>
        <w:tc>
          <w:tcPr>
            <w:tcW w:w="4402" w:type="dxa"/>
            <w:tcBorders>
              <w:top w:val="single" w:color="auto" w:sz="8" w:space="0"/>
              <w:left w:val="single" w:color="auto" w:sz="8" w:space="0"/>
              <w:bottom w:val="single" w:color="auto" w:sz="8" w:space="0"/>
            </w:tcBorders>
            <w:shd w:val="clear" w:color="auto" w:fill="auto"/>
            <w:vAlign w:val="center"/>
          </w:tcPr>
          <w:p w14:paraId="45A13151">
            <w:pPr>
              <w:widowControl/>
              <w:spacing w:line="240" w:lineRule="exact"/>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503019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restart"/>
            <w:tcBorders>
              <w:top w:val="single" w:color="auto" w:sz="8" w:space="0"/>
              <w:right w:val="single" w:color="auto" w:sz="8" w:space="0"/>
            </w:tcBorders>
            <w:shd w:val="clear" w:color="auto" w:fill="auto"/>
            <w:vAlign w:val="center"/>
          </w:tcPr>
          <w:p w14:paraId="661071E1">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□跨境收款下发到银行</w:t>
            </w: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FEDB6A2">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个人</w:t>
            </w:r>
          </w:p>
        </w:tc>
        <w:tc>
          <w:tcPr>
            <w:tcW w:w="4402" w:type="dxa"/>
            <w:tcBorders>
              <w:top w:val="single" w:color="auto" w:sz="8" w:space="0"/>
              <w:left w:val="single" w:color="auto" w:sz="8" w:space="0"/>
              <w:bottom w:val="single" w:color="auto" w:sz="8" w:space="0"/>
            </w:tcBorders>
            <w:shd w:val="clear" w:color="auto" w:fill="auto"/>
            <w:vAlign w:val="center"/>
          </w:tcPr>
          <w:p w14:paraId="7D841BEC">
            <w:pPr>
              <w:widowControl/>
              <w:spacing w:line="240" w:lineRule="exact"/>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096156B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bottom w:val="single" w:color="auto" w:sz="8" w:space="0"/>
              <w:right w:val="single" w:color="auto" w:sz="8" w:space="0"/>
            </w:tcBorders>
            <w:shd w:val="clear" w:color="auto" w:fill="auto"/>
            <w:vAlign w:val="center"/>
          </w:tcPr>
          <w:p w14:paraId="606185BA">
            <w:pPr>
              <w:widowControl/>
              <w:spacing w:line="240" w:lineRule="exact"/>
              <w:textAlignment w:val="center"/>
              <w:rPr>
                <w:rFonts w:hint="eastAsia" w:ascii="新宋体" w:hAnsi="新宋体" w:eastAsia="新宋体" w:cs="新宋体"/>
                <w:color w:val="000000"/>
                <w:sz w:val="21"/>
                <w:szCs w:val="21"/>
                <w:lang w:bidi="ar"/>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18541EB8">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企业</w:t>
            </w:r>
          </w:p>
        </w:tc>
        <w:tc>
          <w:tcPr>
            <w:tcW w:w="4402" w:type="dxa"/>
            <w:tcBorders>
              <w:top w:val="single" w:color="auto" w:sz="8" w:space="0"/>
              <w:left w:val="single" w:color="auto" w:sz="8" w:space="0"/>
              <w:bottom w:val="single" w:color="auto" w:sz="8" w:space="0"/>
            </w:tcBorders>
            <w:shd w:val="clear" w:color="auto" w:fill="auto"/>
            <w:vAlign w:val="center"/>
          </w:tcPr>
          <w:p w14:paraId="6E2B2CC4">
            <w:pPr>
              <w:widowControl/>
              <w:spacing w:line="240" w:lineRule="exact"/>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2B050A6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278" w:hRule="atLeast"/>
          <w:jc w:val="center"/>
        </w:trPr>
        <w:tc>
          <w:tcPr>
            <w:tcW w:w="9207" w:type="dxa"/>
            <w:gridSpan w:val="3"/>
            <w:tcBorders>
              <w:top w:val="single" w:color="auto" w:sz="8" w:space="0"/>
              <w:bottom w:val="single" w:color="auto" w:sz="8" w:space="0"/>
            </w:tcBorders>
            <w:shd w:val="clear" w:color="auto" w:fill="B2B2B2"/>
            <w:vAlign w:val="center"/>
          </w:tcPr>
          <w:p w14:paraId="76475E99">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b/>
                <w:color w:val="000000"/>
                <w:sz w:val="21"/>
                <w:szCs w:val="21"/>
                <w:lang w:bidi="ar"/>
              </w:rPr>
              <w:t>跨境收银台</w:t>
            </w:r>
          </w:p>
        </w:tc>
      </w:tr>
      <w:tr w14:paraId="4A248BD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tcBorders>
              <w:top w:val="single" w:color="auto" w:sz="8" w:space="0"/>
              <w:bottom w:val="single" w:color="auto" w:sz="8" w:space="0"/>
              <w:right w:val="single" w:color="auto" w:sz="8" w:space="0"/>
            </w:tcBorders>
            <w:shd w:val="clear" w:color="auto" w:fill="F1F1F1" w:themeFill="background1" w:themeFillShade="F2"/>
            <w:vAlign w:val="center"/>
          </w:tcPr>
          <w:p w14:paraId="7B6D8801">
            <w:pPr>
              <w:widowControl/>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服务内容</w:t>
            </w:r>
          </w:p>
        </w:tc>
        <w:tc>
          <w:tcPr>
            <w:tcW w:w="2410" w:type="dxa"/>
            <w:tcBorders>
              <w:top w:val="single" w:color="auto" w:sz="8" w:space="0"/>
              <w:left w:val="single" w:color="auto" w:sz="8" w:space="0"/>
              <w:bottom w:val="single" w:color="auto" w:sz="8" w:space="0"/>
              <w:right w:val="single" w:color="auto" w:sz="8" w:space="0"/>
            </w:tcBorders>
            <w:shd w:val="clear" w:color="auto" w:fill="F1F1F1" w:themeFill="background1" w:themeFillShade="F2"/>
            <w:vAlign w:val="center"/>
          </w:tcPr>
          <w:p w14:paraId="3407861A">
            <w:pPr>
              <w:widowControl/>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服务子项</w:t>
            </w:r>
          </w:p>
        </w:tc>
        <w:tc>
          <w:tcPr>
            <w:tcW w:w="4402" w:type="dxa"/>
            <w:tcBorders>
              <w:top w:val="single" w:color="auto" w:sz="8" w:space="0"/>
              <w:left w:val="single" w:color="auto" w:sz="8" w:space="0"/>
              <w:bottom w:val="single" w:color="auto" w:sz="8" w:space="0"/>
            </w:tcBorders>
            <w:shd w:val="clear" w:color="auto" w:fill="F1F1F1" w:themeFill="background1" w:themeFillShade="F2"/>
            <w:vAlign w:val="center"/>
          </w:tcPr>
          <w:p w14:paraId="1FB0511D">
            <w:pPr>
              <w:widowControl/>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服务费用标准</w:t>
            </w:r>
          </w:p>
        </w:tc>
      </w:tr>
      <w:tr w14:paraId="3E5E78D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restart"/>
            <w:tcBorders>
              <w:top w:val="single" w:color="auto" w:sz="8" w:space="0"/>
              <w:bottom w:val="single" w:color="auto" w:sz="8" w:space="0"/>
              <w:right w:val="single" w:color="auto" w:sz="8" w:space="0"/>
            </w:tcBorders>
            <w:shd w:val="clear" w:color="auto" w:fill="auto"/>
            <w:vAlign w:val="center"/>
          </w:tcPr>
          <w:p w14:paraId="7714B94C">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bidi="ar"/>
              </w:rPr>
              <w:t>网银支付</w:t>
            </w: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711599C8">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bidi="ar"/>
              </w:rPr>
              <w:t>B2C</w:t>
            </w:r>
          </w:p>
        </w:tc>
        <w:tc>
          <w:tcPr>
            <w:tcW w:w="4402" w:type="dxa"/>
            <w:tcBorders>
              <w:top w:val="single" w:color="auto" w:sz="8" w:space="0"/>
              <w:left w:val="single" w:color="auto" w:sz="8" w:space="0"/>
              <w:bottom w:val="single" w:color="auto" w:sz="8" w:space="0"/>
            </w:tcBorders>
            <w:shd w:val="clear" w:color="auto" w:fill="auto"/>
            <w:vAlign w:val="center"/>
          </w:tcPr>
          <w:p w14:paraId="64B9938D">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2DD68DF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top w:val="single" w:color="auto" w:sz="8" w:space="0"/>
              <w:bottom w:val="single" w:color="auto" w:sz="8" w:space="0"/>
              <w:right w:val="single" w:color="auto" w:sz="8" w:space="0"/>
            </w:tcBorders>
            <w:shd w:val="clear" w:color="auto" w:fill="auto"/>
            <w:vAlign w:val="center"/>
          </w:tcPr>
          <w:p w14:paraId="494EAA2B">
            <w:pPr>
              <w:widowControl/>
              <w:spacing w:line="240" w:lineRule="exact"/>
              <w:rPr>
                <w:rFonts w:hint="eastAsia" w:ascii="新宋体" w:hAnsi="新宋体" w:eastAsia="新宋体" w:cs="新宋体"/>
                <w:color w:val="000000"/>
                <w:sz w:val="21"/>
                <w:szCs w:val="21"/>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69E31A32">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bidi="ar"/>
              </w:rPr>
              <w:t>B2B</w:t>
            </w:r>
          </w:p>
        </w:tc>
        <w:tc>
          <w:tcPr>
            <w:tcW w:w="4402" w:type="dxa"/>
            <w:tcBorders>
              <w:top w:val="single" w:color="auto" w:sz="8" w:space="0"/>
              <w:left w:val="single" w:color="auto" w:sz="8" w:space="0"/>
              <w:bottom w:val="single" w:color="auto" w:sz="8" w:space="0"/>
            </w:tcBorders>
            <w:shd w:val="clear" w:color="auto" w:fill="auto"/>
            <w:vAlign w:val="center"/>
          </w:tcPr>
          <w:p w14:paraId="4870E38E">
            <w:pPr>
              <w:widowControl/>
              <w:spacing w:line="240" w:lineRule="exact"/>
              <w:textAlignment w:val="bottom"/>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4004D30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restart"/>
            <w:tcBorders>
              <w:top w:val="single" w:color="auto" w:sz="8" w:space="0"/>
              <w:right w:val="single" w:color="auto" w:sz="8" w:space="0"/>
            </w:tcBorders>
            <w:shd w:val="clear" w:color="auto" w:fill="auto"/>
            <w:vAlign w:val="center"/>
          </w:tcPr>
          <w:p w14:paraId="1B0FF161">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bidi="ar"/>
              </w:rPr>
              <w:t>微信支付</w:t>
            </w: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4DABCAC3">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lang w:eastAsia="zh-CN" w:bidi="ar"/>
              </w:rPr>
              <w:t>□用户主扫</w:t>
            </w:r>
          </w:p>
        </w:tc>
        <w:tc>
          <w:tcPr>
            <w:tcW w:w="4402" w:type="dxa"/>
            <w:tcBorders>
              <w:top w:val="single" w:color="auto" w:sz="8" w:space="0"/>
              <w:left w:val="single" w:color="auto" w:sz="8" w:space="0"/>
              <w:bottom w:val="single" w:color="auto" w:sz="8" w:space="0"/>
            </w:tcBorders>
            <w:shd w:val="clear" w:color="auto" w:fill="auto"/>
            <w:vAlign w:val="center"/>
          </w:tcPr>
          <w:p w14:paraId="528E8157">
            <w:pPr>
              <w:widowControl/>
              <w:spacing w:line="240" w:lineRule="exact"/>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30B3ED4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bottom w:val="single" w:color="auto" w:sz="8" w:space="0"/>
              <w:right w:val="single" w:color="auto" w:sz="8" w:space="0"/>
            </w:tcBorders>
            <w:shd w:val="clear" w:color="auto" w:fill="auto"/>
            <w:vAlign w:val="center"/>
          </w:tcPr>
          <w:p w14:paraId="14208704">
            <w:pPr>
              <w:widowControl/>
              <w:spacing w:line="240" w:lineRule="exact"/>
              <w:rPr>
                <w:rFonts w:hint="eastAsia" w:ascii="新宋体" w:hAnsi="新宋体" w:eastAsia="新宋体" w:cs="新宋体"/>
                <w:color w:val="000000"/>
                <w:sz w:val="21"/>
                <w:szCs w:val="21"/>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3EE86544">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□公众号/小程序</w:t>
            </w:r>
          </w:p>
        </w:tc>
        <w:tc>
          <w:tcPr>
            <w:tcW w:w="4402" w:type="dxa"/>
            <w:tcBorders>
              <w:top w:val="single" w:color="auto" w:sz="8" w:space="0"/>
              <w:left w:val="single" w:color="auto" w:sz="8" w:space="0"/>
              <w:bottom w:val="single" w:color="auto" w:sz="8" w:space="0"/>
            </w:tcBorders>
            <w:shd w:val="clear" w:color="auto" w:fill="auto"/>
            <w:vAlign w:val="center"/>
          </w:tcPr>
          <w:p w14:paraId="7481C01C">
            <w:pPr>
              <w:widowControl/>
              <w:spacing w:line="240" w:lineRule="exact"/>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0654F5A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bottom w:val="single" w:color="auto" w:sz="8" w:space="0"/>
              <w:right w:val="single" w:color="auto" w:sz="8" w:space="0"/>
            </w:tcBorders>
            <w:shd w:val="clear" w:color="auto" w:fill="auto"/>
            <w:vAlign w:val="center"/>
          </w:tcPr>
          <w:p w14:paraId="01A2A76C">
            <w:pPr>
              <w:widowControl/>
              <w:spacing w:line="240" w:lineRule="exact"/>
              <w:rPr>
                <w:rFonts w:hint="eastAsia" w:ascii="新宋体" w:hAnsi="新宋体" w:eastAsia="新宋体" w:cs="新宋体"/>
                <w:color w:val="000000"/>
                <w:sz w:val="21"/>
                <w:szCs w:val="21"/>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57FD798E">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□用户被扫</w:t>
            </w:r>
          </w:p>
        </w:tc>
        <w:tc>
          <w:tcPr>
            <w:tcW w:w="4402" w:type="dxa"/>
            <w:tcBorders>
              <w:top w:val="single" w:color="auto" w:sz="8" w:space="0"/>
              <w:left w:val="single" w:color="auto" w:sz="8" w:space="0"/>
              <w:bottom w:val="single" w:color="auto" w:sz="8" w:space="0"/>
            </w:tcBorders>
            <w:shd w:val="clear" w:color="auto" w:fill="auto"/>
            <w:vAlign w:val="center"/>
          </w:tcPr>
          <w:p w14:paraId="322D1394">
            <w:pPr>
              <w:widowControl/>
              <w:spacing w:line="240" w:lineRule="exact"/>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0F9A8CE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restart"/>
            <w:tcBorders>
              <w:top w:val="single" w:color="auto" w:sz="8" w:space="0"/>
              <w:right w:val="single" w:color="auto" w:sz="8" w:space="0"/>
            </w:tcBorders>
            <w:shd w:val="clear" w:color="auto" w:fill="auto"/>
            <w:vAlign w:val="center"/>
          </w:tcPr>
          <w:p w14:paraId="0460B5D4">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□支付宝支付</w:t>
            </w: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0D2C354C">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lang w:bidi="ar"/>
              </w:rPr>
              <w:t>□</w:t>
            </w:r>
            <w:r>
              <w:rPr>
                <w:rFonts w:hint="eastAsia" w:ascii="新宋体" w:hAnsi="新宋体" w:eastAsia="新宋体" w:cs="新宋体"/>
                <w:color w:val="000000"/>
                <w:sz w:val="21"/>
                <w:szCs w:val="21"/>
                <w:lang w:eastAsia="zh-CN" w:bidi="ar"/>
              </w:rPr>
              <w:t>用户主扫</w:t>
            </w:r>
          </w:p>
        </w:tc>
        <w:tc>
          <w:tcPr>
            <w:tcW w:w="4402" w:type="dxa"/>
            <w:tcBorders>
              <w:top w:val="single" w:color="auto" w:sz="8" w:space="0"/>
              <w:left w:val="single" w:color="auto" w:sz="8" w:space="0"/>
              <w:bottom w:val="single" w:color="auto" w:sz="8" w:space="0"/>
            </w:tcBorders>
            <w:shd w:val="clear" w:color="auto" w:fill="auto"/>
            <w:vAlign w:val="center"/>
          </w:tcPr>
          <w:p w14:paraId="74056FAF">
            <w:pPr>
              <w:widowControl/>
              <w:spacing w:line="240" w:lineRule="exact"/>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41134D2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right w:val="single" w:color="auto" w:sz="8" w:space="0"/>
            </w:tcBorders>
            <w:shd w:val="clear" w:color="auto" w:fill="auto"/>
            <w:vAlign w:val="center"/>
          </w:tcPr>
          <w:p w14:paraId="371D3FC8">
            <w:pPr>
              <w:widowControl/>
              <w:spacing w:line="240" w:lineRule="exact"/>
              <w:rPr>
                <w:rFonts w:hint="eastAsia" w:ascii="新宋体" w:hAnsi="新宋体" w:eastAsia="新宋体" w:cs="新宋体"/>
                <w:color w:val="000000"/>
                <w:sz w:val="21"/>
                <w:szCs w:val="21"/>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7824B3C5">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□H5</w:t>
            </w:r>
          </w:p>
        </w:tc>
        <w:tc>
          <w:tcPr>
            <w:tcW w:w="4402" w:type="dxa"/>
            <w:tcBorders>
              <w:top w:val="single" w:color="auto" w:sz="8" w:space="0"/>
              <w:left w:val="single" w:color="auto" w:sz="8" w:space="0"/>
              <w:bottom w:val="single" w:color="auto" w:sz="8" w:space="0"/>
            </w:tcBorders>
            <w:shd w:val="clear" w:color="auto" w:fill="auto"/>
            <w:vAlign w:val="center"/>
          </w:tcPr>
          <w:p w14:paraId="33117DC9">
            <w:pPr>
              <w:widowControl/>
              <w:spacing w:line="240" w:lineRule="exact"/>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319E857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bottom w:val="single" w:color="auto" w:sz="8" w:space="0"/>
              <w:right w:val="single" w:color="auto" w:sz="8" w:space="0"/>
            </w:tcBorders>
            <w:shd w:val="clear" w:color="auto" w:fill="auto"/>
            <w:vAlign w:val="center"/>
          </w:tcPr>
          <w:p w14:paraId="1C84AA4A">
            <w:pPr>
              <w:widowControl/>
              <w:spacing w:line="240" w:lineRule="exact"/>
              <w:rPr>
                <w:rFonts w:hint="eastAsia" w:ascii="新宋体" w:hAnsi="新宋体" w:eastAsia="新宋体" w:cs="新宋体"/>
                <w:color w:val="000000"/>
                <w:sz w:val="21"/>
                <w:szCs w:val="21"/>
              </w:rPr>
            </w:pPr>
          </w:p>
        </w:tc>
        <w:tc>
          <w:tcPr>
            <w:tcW w:w="2410" w:type="dxa"/>
            <w:tcBorders>
              <w:top w:val="single" w:color="auto" w:sz="8" w:space="0"/>
              <w:left w:val="single" w:color="auto" w:sz="8" w:space="0"/>
              <w:bottom w:val="single" w:color="auto" w:sz="8" w:space="0"/>
              <w:right w:val="single" w:color="auto" w:sz="8" w:space="0"/>
            </w:tcBorders>
            <w:shd w:val="clear" w:color="auto" w:fill="auto"/>
            <w:vAlign w:val="center"/>
          </w:tcPr>
          <w:p w14:paraId="2885A4C9">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eastAsia="zh-CN" w:bidi="ar"/>
              </w:rPr>
              <w:t>□用户被扫</w:t>
            </w:r>
          </w:p>
        </w:tc>
        <w:tc>
          <w:tcPr>
            <w:tcW w:w="4402" w:type="dxa"/>
            <w:tcBorders>
              <w:top w:val="single" w:color="auto" w:sz="8" w:space="0"/>
              <w:left w:val="single" w:color="auto" w:sz="8" w:space="0"/>
              <w:bottom w:val="single" w:color="auto" w:sz="8" w:space="0"/>
            </w:tcBorders>
            <w:shd w:val="clear" w:color="auto" w:fill="auto"/>
            <w:vAlign w:val="center"/>
          </w:tcPr>
          <w:p w14:paraId="2A0F8CEF">
            <w:pPr>
              <w:widowControl/>
              <w:spacing w:line="240" w:lineRule="exact"/>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w:t>
            </w:r>
            <w:r>
              <w:rPr>
                <w:rFonts w:hint="eastAsia" w:ascii="新宋体" w:hAnsi="新宋体" w:eastAsia="新宋体" w:cs="新宋体"/>
                <w:color w:val="000000"/>
                <w:sz w:val="21"/>
                <w:szCs w:val="21"/>
                <w:u w:val="single"/>
                <w:lang w:eastAsia="zh-CN"/>
              </w:rPr>
              <w:t>元</w:t>
            </w:r>
            <w:r>
              <w:rPr>
                <w:rFonts w:hint="eastAsia" w:ascii="新宋体" w:hAnsi="新宋体" w:eastAsia="新宋体" w:cs="新宋体"/>
                <w:color w:val="000000"/>
                <w:sz w:val="21"/>
                <w:szCs w:val="21"/>
                <w:lang w:eastAsia="zh-CN"/>
              </w:rPr>
              <w:t>）</w:t>
            </w:r>
          </w:p>
        </w:tc>
      </w:tr>
      <w:tr w14:paraId="1B212F9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tcBorders>
              <w:top w:val="single" w:color="auto" w:sz="8" w:space="0"/>
              <w:right w:val="single" w:color="auto" w:sz="8" w:space="0"/>
            </w:tcBorders>
            <w:shd w:val="clear" w:color="auto" w:fill="auto"/>
            <w:vAlign w:val="center"/>
          </w:tcPr>
          <w:p w14:paraId="2972FB80">
            <w:pPr>
              <w:widowControl/>
              <w:spacing w:line="240" w:lineRule="exact"/>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bidi="ar"/>
              </w:rPr>
              <w:t>□云闪付支付</w:t>
            </w:r>
          </w:p>
        </w:tc>
        <w:tc>
          <w:tcPr>
            <w:tcW w:w="2410" w:type="dxa"/>
            <w:tcBorders>
              <w:top w:val="single" w:color="auto" w:sz="8" w:space="0"/>
              <w:left w:val="single" w:color="auto" w:sz="8" w:space="0"/>
              <w:right w:val="single" w:color="auto" w:sz="8" w:space="0"/>
            </w:tcBorders>
            <w:shd w:val="clear" w:color="auto" w:fill="auto"/>
            <w:vAlign w:val="center"/>
          </w:tcPr>
          <w:p w14:paraId="3B272C1A">
            <w:pPr>
              <w:widowControl/>
              <w:spacing w:line="240" w:lineRule="exact"/>
              <w:textAlignment w:val="center"/>
              <w:rPr>
                <w:rFonts w:hint="eastAsia" w:ascii="新宋体" w:hAnsi="新宋体" w:eastAsia="新宋体" w:cs="新宋体"/>
                <w:sz w:val="21"/>
                <w:szCs w:val="21"/>
                <w:lang w:bidi="ar"/>
              </w:rPr>
            </w:pPr>
            <w:r>
              <w:rPr>
                <w:rFonts w:hint="eastAsia" w:ascii="新宋体" w:hAnsi="新宋体" w:eastAsia="新宋体" w:cs="新宋体"/>
                <w:sz w:val="21"/>
                <w:szCs w:val="21"/>
                <w:lang w:bidi="ar"/>
              </w:rPr>
              <w:t>□</w:t>
            </w:r>
            <w:r>
              <w:rPr>
                <w:rFonts w:hint="eastAsia" w:ascii="新宋体" w:hAnsi="新宋体" w:eastAsia="新宋体" w:cs="新宋体"/>
                <w:sz w:val="21"/>
                <w:szCs w:val="21"/>
                <w:lang w:eastAsia="zh-CN" w:bidi="ar"/>
              </w:rPr>
              <w:t>用户主扫</w:t>
            </w:r>
          </w:p>
        </w:tc>
        <w:tc>
          <w:tcPr>
            <w:tcW w:w="4402" w:type="dxa"/>
            <w:tcBorders>
              <w:top w:val="single" w:color="auto" w:sz="8" w:space="0"/>
              <w:left w:val="single" w:color="auto" w:sz="8" w:space="0"/>
            </w:tcBorders>
            <w:shd w:val="clear" w:color="auto" w:fill="auto"/>
            <w:vAlign w:val="center"/>
          </w:tcPr>
          <w:p w14:paraId="68D3A9AD">
            <w:pPr>
              <w:widowControl/>
              <w:spacing w:line="240" w:lineRule="exact"/>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%（最低手续费_____元）</w:t>
            </w:r>
          </w:p>
        </w:tc>
      </w:tr>
      <w:tr w14:paraId="6D8C3E1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restart"/>
            <w:tcBorders>
              <w:top w:val="single" w:color="auto" w:sz="8" w:space="0"/>
              <w:right w:val="single" w:color="auto" w:sz="8" w:space="0"/>
            </w:tcBorders>
            <w:shd w:val="clear" w:color="auto" w:fill="auto"/>
            <w:vAlign w:val="center"/>
          </w:tcPr>
          <w:p w14:paraId="632B49E2">
            <w:pPr>
              <w:widowControl/>
              <w:spacing w:line="240" w:lineRule="exact"/>
              <w:rPr>
                <w:rFonts w:hint="eastAsia" w:ascii="新宋体" w:hAnsi="新宋体" w:eastAsia="新宋体" w:cs="新宋体"/>
                <w:sz w:val="21"/>
                <w:szCs w:val="21"/>
                <w:lang w:eastAsia="zh-CN" w:bidi="ar"/>
              </w:rPr>
            </w:pPr>
            <w:r>
              <w:rPr>
                <w:rFonts w:hint="eastAsia" w:ascii="新宋体" w:hAnsi="新宋体" w:eastAsia="新宋体" w:cs="新宋体"/>
                <w:sz w:val="21"/>
                <w:szCs w:val="21"/>
                <w:lang w:eastAsia="zh-CN" w:bidi="ar"/>
              </w:rPr>
              <w:t>□数字人民币支付</w:t>
            </w:r>
          </w:p>
        </w:tc>
        <w:tc>
          <w:tcPr>
            <w:tcW w:w="2410" w:type="dxa"/>
            <w:tcBorders>
              <w:top w:val="single" w:color="auto" w:sz="8" w:space="0"/>
              <w:left w:val="single" w:color="auto" w:sz="8" w:space="0"/>
              <w:right w:val="single" w:color="auto" w:sz="8" w:space="0"/>
            </w:tcBorders>
            <w:shd w:val="clear" w:color="auto" w:fill="auto"/>
            <w:vAlign w:val="center"/>
          </w:tcPr>
          <w:p w14:paraId="0EBE4C61">
            <w:pPr>
              <w:widowControl/>
              <w:spacing w:line="240" w:lineRule="exact"/>
              <w:textAlignment w:val="center"/>
              <w:rPr>
                <w:rFonts w:hint="eastAsia" w:ascii="新宋体" w:hAnsi="新宋体" w:eastAsia="新宋体" w:cs="新宋体"/>
                <w:sz w:val="21"/>
                <w:szCs w:val="21"/>
                <w:lang w:eastAsia="zh-CN" w:bidi="ar"/>
              </w:rPr>
            </w:pPr>
            <w:r>
              <w:rPr>
                <w:rFonts w:hint="eastAsia" w:ascii="新宋体" w:hAnsi="新宋体" w:eastAsia="新宋体" w:cs="新宋体"/>
                <w:sz w:val="21"/>
                <w:szCs w:val="21"/>
                <w:lang w:eastAsia="zh-CN" w:bidi="ar"/>
              </w:rPr>
              <w:t>□移动端</w:t>
            </w:r>
          </w:p>
        </w:tc>
        <w:tc>
          <w:tcPr>
            <w:tcW w:w="4402" w:type="dxa"/>
            <w:vMerge w:val="restart"/>
            <w:tcBorders>
              <w:top w:val="single" w:color="auto" w:sz="8" w:space="0"/>
              <w:left w:val="single" w:color="auto" w:sz="8" w:space="0"/>
            </w:tcBorders>
            <w:shd w:val="clear" w:color="auto" w:fill="auto"/>
            <w:vAlign w:val="center"/>
          </w:tcPr>
          <w:p w14:paraId="3584E095">
            <w:pPr>
              <w:spacing w:line="240" w:lineRule="exact"/>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u w:val="single"/>
                <w:lang w:eastAsia="zh-CN"/>
              </w:rPr>
              <w:t xml:space="preserve">  </w:t>
            </w:r>
            <w:r>
              <w:rPr>
                <w:rFonts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%（最低手续费__</w:t>
            </w:r>
            <w:r>
              <w:rPr>
                <w:rFonts w:ascii="新宋体" w:hAnsi="新宋体" w:eastAsia="新宋体" w:cs="新宋体"/>
                <w:color w:val="000000"/>
                <w:sz w:val="21"/>
                <w:szCs w:val="21"/>
                <w:u w:val="single"/>
                <w:lang w:eastAsia="zh-CN"/>
              </w:rPr>
              <w:t>0</w:t>
            </w:r>
            <w:r>
              <w:rPr>
                <w:rFonts w:hint="eastAsia" w:ascii="新宋体" w:hAnsi="新宋体" w:eastAsia="新宋体" w:cs="新宋体"/>
                <w:color w:val="000000"/>
                <w:sz w:val="21"/>
                <w:szCs w:val="21"/>
                <w:lang w:eastAsia="zh-CN"/>
              </w:rPr>
              <w:t>__元）</w:t>
            </w:r>
          </w:p>
          <w:p w14:paraId="45A88893">
            <w:pPr>
              <w:spacing w:line="240" w:lineRule="exact"/>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lang w:eastAsia="zh-CN"/>
              </w:rPr>
              <w:t>注：该栏数字人民币报价仅限数字人民币试点期间，后期会随政策及市场变化等因素作浮动调整。</w:t>
            </w:r>
          </w:p>
        </w:tc>
      </w:tr>
      <w:tr w14:paraId="2ABD1C3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right w:val="single" w:color="auto" w:sz="8" w:space="0"/>
            </w:tcBorders>
            <w:shd w:val="clear" w:color="auto" w:fill="auto"/>
            <w:vAlign w:val="center"/>
          </w:tcPr>
          <w:p w14:paraId="38365477">
            <w:pPr>
              <w:widowControl/>
              <w:spacing w:line="240" w:lineRule="exact"/>
              <w:rPr>
                <w:rFonts w:hint="eastAsia" w:ascii="新宋体" w:hAnsi="新宋体" w:eastAsia="新宋体" w:cs="新宋体"/>
                <w:sz w:val="21"/>
                <w:szCs w:val="21"/>
                <w:lang w:eastAsia="zh-CN" w:bidi="ar"/>
              </w:rPr>
            </w:pPr>
          </w:p>
        </w:tc>
        <w:tc>
          <w:tcPr>
            <w:tcW w:w="2410" w:type="dxa"/>
            <w:tcBorders>
              <w:top w:val="single" w:color="auto" w:sz="8" w:space="0"/>
              <w:left w:val="single" w:color="auto" w:sz="8" w:space="0"/>
              <w:right w:val="single" w:color="auto" w:sz="8" w:space="0"/>
            </w:tcBorders>
            <w:shd w:val="clear" w:color="auto" w:fill="auto"/>
            <w:vAlign w:val="center"/>
          </w:tcPr>
          <w:p w14:paraId="175332EC">
            <w:pPr>
              <w:widowControl/>
              <w:spacing w:line="240" w:lineRule="exact"/>
              <w:textAlignment w:val="center"/>
              <w:rPr>
                <w:rFonts w:hint="eastAsia" w:ascii="新宋体" w:hAnsi="新宋体" w:eastAsia="新宋体" w:cs="新宋体"/>
                <w:sz w:val="21"/>
                <w:szCs w:val="21"/>
                <w:lang w:bidi="ar"/>
              </w:rPr>
            </w:pPr>
            <w:r>
              <w:rPr>
                <w:rFonts w:hint="eastAsia" w:ascii="新宋体" w:hAnsi="新宋体" w:eastAsia="新宋体" w:cs="新宋体"/>
                <w:sz w:val="21"/>
                <w:szCs w:val="21"/>
                <w:lang w:eastAsia="zh-CN" w:bidi="ar"/>
              </w:rPr>
              <w:t>□线下用户主扫</w:t>
            </w:r>
          </w:p>
        </w:tc>
        <w:tc>
          <w:tcPr>
            <w:tcW w:w="4402" w:type="dxa"/>
            <w:vMerge w:val="continue"/>
            <w:tcBorders>
              <w:left w:val="single" w:color="auto" w:sz="8" w:space="0"/>
            </w:tcBorders>
            <w:shd w:val="clear" w:color="auto" w:fill="auto"/>
            <w:vAlign w:val="center"/>
          </w:tcPr>
          <w:p w14:paraId="6DD54B78">
            <w:pPr>
              <w:spacing w:line="240" w:lineRule="exact"/>
              <w:rPr>
                <w:rFonts w:hint="eastAsia" w:ascii="新宋体" w:hAnsi="新宋体" w:eastAsia="新宋体" w:cs="新宋体"/>
                <w:color w:val="000000"/>
                <w:sz w:val="21"/>
                <w:szCs w:val="21"/>
                <w:u w:val="single"/>
                <w:lang w:eastAsia="zh-CN"/>
              </w:rPr>
            </w:pPr>
          </w:p>
        </w:tc>
      </w:tr>
      <w:tr w14:paraId="79EE74E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vMerge w:val="continue"/>
            <w:tcBorders>
              <w:right w:val="single" w:color="auto" w:sz="8" w:space="0"/>
            </w:tcBorders>
            <w:shd w:val="clear" w:color="auto" w:fill="auto"/>
            <w:vAlign w:val="center"/>
          </w:tcPr>
          <w:p w14:paraId="33F0AA9F">
            <w:pPr>
              <w:widowControl/>
              <w:spacing w:line="240" w:lineRule="exact"/>
              <w:rPr>
                <w:rFonts w:hint="eastAsia" w:ascii="新宋体" w:hAnsi="新宋体" w:eastAsia="新宋体" w:cs="新宋体"/>
                <w:sz w:val="21"/>
                <w:szCs w:val="21"/>
                <w:lang w:bidi="ar"/>
              </w:rPr>
            </w:pPr>
          </w:p>
        </w:tc>
        <w:tc>
          <w:tcPr>
            <w:tcW w:w="2410" w:type="dxa"/>
            <w:tcBorders>
              <w:top w:val="single" w:color="auto" w:sz="8" w:space="0"/>
              <w:left w:val="single" w:color="auto" w:sz="8" w:space="0"/>
              <w:right w:val="single" w:color="auto" w:sz="8" w:space="0"/>
            </w:tcBorders>
            <w:shd w:val="clear" w:color="auto" w:fill="auto"/>
            <w:vAlign w:val="center"/>
          </w:tcPr>
          <w:p w14:paraId="32CE6F87">
            <w:pPr>
              <w:widowControl/>
              <w:spacing w:line="240" w:lineRule="exact"/>
              <w:textAlignment w:val="center"/>
              <w:rPr>
                <w:rFonts w:hint="eastAsia" w:ascii="新宋体" w:hAnsi="新宋体" w:eastAsia="新宋体" w:cs="新宋体"/>
                <w:sz w:val="21"/>
                <w:szCs w:val="21"/>
                <w:lang w:eastAsia="zh-CN" w:bidi="ar"/>
              </w:rPr>
            </w:pPr>
            <w:r>
              <w:rPr>
                <w:rFonts w:hint="eastAsia" w:ascii="新宋体" w:hAnsi="新宋体" w:eastAsia="新宋体" w:cs="新宋体"/>
                <w:sz w:val="21"/>
                <w:szCs w:val="21"/>
                <w:lang w:eastAsia="zh-CN" w:bidi="ar"/>
              </w:rPr>
              <w:t>□线下用户被扫</w:t>
            </w:r>
          </w:p>
        </w:tc>
        <w:tc>
          <w:tcPr>
            <w:tcW w:w="4402" w:type="dxa"/>
            <w:vMerge w:val="continue"/>
            <w:tcBorders>
              <w:left w:val="single" w:color="auto" w:sz="8" w:space="0"/>
            </w:tcBorders>
            <w:shd w:val="clear" w:color="auto" w:fill="auto"/>
            <w:vAlign w:val="center"/>
          </w:tcPr>
          <w:p w14:paraId="349958BF">
            <w:pPr>
              <w:widowControl/>
              <w:spacing w:line="240" w:lineRule="exact"/>
              <w:rPr>
                <w:rFonts w:hint="eastAsia" w:ascii="新宋体" w:hAnsi="新宋体" w:eastAsia="新宋体" w:cs="新宋体"/>
                <w:color w:val="000000"/>
                <w:sz w:val="21"/>
                <w:szCs w:val="21"/>
                <w:u w:val="single"/>
                <w:lang w:eastAsia="zh-CN"/>
              </w:rPr>
            </w:pPr>
          </w:p>
        </w:tc>
      </w:tr>
      <w:tr w14:paraId="02DCB80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4C076968">
            <w:pPr>
              <w:spacing w:line="240" w:lineRule="exact"/>
              <w:rPr>
                <w:rFonts w:hint="eastAsia" w:ascii="新宋体" w:hAnsi="新宋体" w:eastAsia="新宋体" w:cs="新宋体"/>
                <w:sz w:val="21"/>
                <w:szCs w:val="21"/>
              </w:rPr>
            </w:pPr>
            <w:r>
              <w:rPr>
                <w:rFonts w:hint="eastAsia" w:ascii="新宋体" w:hAnsi="新宋体" w:eastAsia="新宋体" w:cs="新宋体"/>
                <w:sz w:val="21"/>
                <w:szCs w:val="21"/>
                <w:lang w:eastAsia="zh-CN" w:bidi="ar"/>
              </w:rPr>
              <w:t>□收银台转账</w:t>
            </w:r>
          </w:p>
        </w:tc>
        <w:tc>
          <w:tcPr>
            <w:tcW w:w="2410" w:type="dxa"/>
            <w:shd w:val="clear" w:color="auto" w:fill="auto"/>
            <w:vAlign w:val="center"/>
          </w:tcPr>
          <w:p w14:paraId="53638A21">
            <w:pPr>
              <w:widowControl/>
              <w:spacing w:line="240" w:lineRule="exact"/>
              <w:textAlignment w:val="center"/>
              <w:rPr>
                <w:rFonts w:hint="eastAsia" w:ascii="新宋体" w:hAnsi="新宋体" w:eastAsia="新宋体" w:cs="新宋体"/>
                <w:sz w:val="21"/>
                <w:szCs w:val="21"/>
                <w:lang w:eastAsia="zh-CN" w:bidi="ar"/>
              </w:rPr>
            </w:pPr>
            <w:r>
              <w:rPr>
                <w:rFonts w:hint="eastAsia" w:ascii="新宋体" w:hAnsi="新宋体" w:eastAsia="新宋体" w:cs="新宋体"/>
                <w:sz w:val="21"/>
                <w:szCs w:val="21"/>
                <w:lang w:bidi="ar"/>
              </w:rPr>
              <w:t>□</w:t>
            </w:r>
            <w:r>
              <w:rPr>
                <w:rFonts w:hint="eastAsia" w:ascii="新宋体" w:hAnsi="新宋体" w:eastAsia="新宋体" w:cs="新宋体"/>
                <w:sz w:val="21"/>
                <w:szCs w:val="21"/>
                <w:lang w:eastAsia="zh-CN" w:bidi="ar"/>
              </w:rPr>
              <w:t>WEB/API</w:t>
            </w:r>
          </w:p>
        </w:tc>
        <w:tc>
          <w:tcPr>
            <w:tcW w:w="4402" w:type="dxa"/>
            <w:shd w:val="clear" w:color="auto" w:fill="auto"/>
            <w:vAlign w:val="bottom"/>
          </w:tcPr>
          <w:p w14:paraId="2CB6FB8A">
            <w:pPr>
              <w:spacing w:line="240" w:lineRule="exact"/>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58021E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688C7E51">
            <w:pPr>
              <w:spacing w:line="240" w:lineRule="exact"/>
              <w:rPr>
                <w:rFonts w:hint="eastAsia" w:ascii="新宋体" w:hAnsi="新宋体" w:eastAsia="新宋体" w:cs="新宋体"/>
                <w:sz w:val="21"/>
                <w:szCs w:val="21"/>
              </w:rPr>
            </w:pPr>
            <w:r>
              <w:rPr>
                <w:rFonts w:hint="eastAsia" w:ascii="新宋体" w:hAnsi="新宋体" w:eastAsia="新宋体" w:cs="新宋体"/>
                <w:sz w:val="21"/>
                <w:szCs w:val="21"/>
                <w:lang w:eastAsia="zh-CN"/>
              </w:rPr>
              <w:t>境内提现</w:t>
            </w:r>
          </w:p>
        </w:tc>
        <w:tc>
          <w:tcPr>
            <w:tcW w:w="2410" w:type="dxa"/>
            <w:shd w:val="clear" w:color="auto" w:fill="auto"/>
            <w:vAlign w:val="center"/>
          </w:tcPr>
          <w:p w14:paraId="70D6D5D9">
            <w:pPr>
              <w:widowControl/>
              <w:spacing w:line="240" w:lineRule="exact"/>
              <w:textAlignment w:val="center"/>
              <w:rPr>
                <w:rFonts w:hint="eastAsia" w:ascii="新宋体" w:hAnsi="新宋体" w:eastAsia="新宋体" w:cs="新宋体"/>
                <w:sz w:val="21"/>
                <w:szCs w:val="21"/>
                <w:lang w:bidi="ar"/>
              </w:rPr>
            </w:pPr>
          </w:p>
        </w:tc>
        <w:tc>
          <w:tcPr>
            <w:tcW w:w="4402" w:type="dxa"/>
            <w:shd w:val="clear" w:color="auto" w:fill="auto"/>
            <w:vAlign w:val="bottom"/>
          </w:tcPr>
          <w:p w14:paraId="7CD6D04D">
            <w:pPr>
              <w:spacing w:line="240" w:lineRule="exact"/>
              <w:rPr>
                <w:rFonts w:hint="eastAsia" w:ascii="新宋体" w:hAnsi="新宋体" w:eastAsia="新宋体" w:cs="新宋体"/>
                <w:i/>
                <w:color w:val="000000"/>
                <w:sz w:val="21"/>
                <w:szCs w:val="21"/>
                <w:lang w:eastAsia="zh-CN"/>
              </w:rPr>
            </w:pPr>
            <w:r>
              <w:rPr>
                <w:rFonts w:hint="eastAsia" w:ascii="新宋体" w:hAnsi="新宋体" w:eastAsia="新宋体" w:cs="新宋体"/>
                <w:color w:val="000000"/>
                <w:sz w:val="21"/>
                <w:szCs w:val="21"/>
                <w:u w:val="single"/>
                <w:lang w:eastAsia="zh-CN"/>
              </w:rPr>
              <w:t xml:space="preserve">   0   元</w:t>
            </w:r>
            <w:r>
              <w:rPr>
                <w:rFonts w:hint="eastAsia" w:ascii="新宋体" w:hAnsi="新宋体" w:eastAsia="新宋体" w:cs="新宋体"/>
                <w:color w:val="000000"/>
                <w:sz w:val="21"/>
                <w:szCs w:val="21"/>
                <w:lang w:eastAsia="zh-CN"/>
              </w:rPr>
              <w:t>/笔</w:t>
            </w:r>
          </w:p>
        </w:tc>
      </w:tr>
      <w:tr w14:paraId="615830B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30" w:hRule="atLeast"/>
          <w:jc w:val="center"/>
        </w:trPr>
        <w:tc>
          <w:tcPr>
            <w:tcW w:w="9207" w:type="dxa"/>
            <w:gridSpan w:val="3"/>
            <w:shd w:val="clear" w:color="auto" w:fill="B2B2B2"/>
            <w:vAlign w:val="center"/>
          </w:tcPr>
          <w:p w14:paraId="6459BA97">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b/>
                <w:color w:val="000000"/>
                <w:sz w:val="21"/>
                <w:szCs w:val="21"/>
                <w:lang w:bidi="ar"/>
              </w:rPr>
              <w:t>分账产品</w:t>
            </w:r>
          </w:p>
        </w:tc>
      </w:tr>
      <w:tr w14:paraId="19C6F28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29" w:hRule="atLeast"/>
          <w:jc w:val="center"/>
        </w:trPr>
        <w:tc>
          <w:tcPr>
            <w:tcW w:w="2395" w:type="dxa"/>
            <w:shd w:val="clear" w:color="auto" w:fill="F1F1F1" w:themeFill="background1" w:themeFillShade="F2"/>
            <w:vAlign w:val="center"/>
          </w:tcPr>
          <w:p w14:paraId="0F527C22">
            <w:pPr>
              <w:widowControl/>
              <w:spacing w:line="200" w:lineRule="exact"/>
              <w:jc w:val="center"/>
              <w:textAlignment w:val="center"/>
              <w:rPr>
                <w:rFonts w:hint="eastAsia" w:ascii="新宋体" w:hAnsi="新宋体" w:eastAsia="新宋体" w:cs="新宋体"/>
                <w:b/>
                <w:color w:val="000000"/>
                <w:sz w:val="21"/>
                <w:szCs w:val="21"/>
                <w:lang w:eastAsia="zh-CN" w:bidi="ar"/>
              </w:rPr>
            </w:pPr>
            <w:r>
              <w:rPr>
                <w:rFonts w:hint="eastAsia" w:ascii="新宋体" w:hAnsi="新宋体" w:eastAsia="新宋体" w:cs="新宋体"/>
                <w:b/>
                <w:color w:val="000000"/>
                <w:sz w:val="21"/>
                <w:szCs w:val="21"/>
                <w:lang w:eastAsia="zh-CN" w:bidi="ar"/>
              </w:rPr>
              <w:t>服务内容</w:t>
            </w:r>
          </w:p>
        </w:tc>
        <w:tc>
          <w:tcPr>
            <w:tcW w:w="2410" w:type="dxa"/>
            <w:shd w:val="clear" w:color="auto" w:fill="F1F1F1" w:themeFill="background1" w:themeFillShade="F2"/>
            <w:vAlign w:val="center"/>
          </w:tcPr>
          <w:p w14:paraId="6A70E40A">
            <w:pPr>
              <w:widowControl/>
              <w:spacing w:line="200" w:lineRule="exact"/>
              <w:jc w:val="center"/>
              <w:textAlignment w:val="center"/>
              <w:rPr>
                <w:rFonts w:hint="eastAsia" w:ascii="新宋体" w:hAnsi="新宋体" w:eastAsia="新宋体" w:cs="新宋体"/>
                <w:color w:val="000000"/>
                <w:sz w:val="21"/>
                <w:szCs w:val="21"/>
                <w:lang w:bidi="ar"/>
              </w:rPr>
            </w:pPr>
            <w:r>
              <w:rPr>
                <w:rFonts w:hint="eastAsia" w:ascii="新宋体" w:hAnsi="新宋体" w:eastAsia="新宋体" w:cs="新宋体"/>
                <w:b/>
                <w:color w:val="000000"/>
                <w:sz w:val="21"/>
                <w:szCs w:val="21"/>
                <w:lang w:eastAsia="zh-CN" w:bidi="ar"/>
              </w:rPr>
              <w:t>接入方式</w:t>
            </w:r>
          </w:p>
        </w:tc>
        <w:tc>
          <w:tcPr>
            <w:tcW w:w="4402" w:type="dxa"/>
            <w:shd w:val="clear" w:color="auto" w:fill="F1F1F1" w:themeFill="background1" w:themeFillShade="F2"/>
            <w:vAlign w:val="center"/>
          </w:tcPr>
          <w:p w14:paraId="07E93C9C">
            <w:pPr>
              <w:spacing w:line="200" w:lineRule="exact"/>
              <w:jc w:val="center"/>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b/>
                <w:color w:val="000000"/>
                <w:sz w:val="21"/>
                <w:szCs w:val="21"/>
                <w:lang w:eastAsia="zh-CN" w:bidi="ar"/>
              </w:rPr>
              <w:t>服务费用标准</w:t>
            </w:r>
          </w:p>
        </w:tc>
      </w:tr>
      <w:tr w14:paraId="2F8EC38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005223CC">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eastAsia="zh-CN" w:bidi="ar"/>
              </w:rPr>
              <w:t>分账到境内</w:t>
            </w:r>
          </w:p>
        </w:tc>
        <w:tc>
          <w:tcPr>
            <w:tcW w:w="2410" w:type="dxa"/>
            <w:shd w:val="clear" w:color="auto" w:fill="auto"/>
            <w:vAlign w:val="center"/>
          </w:tcPr>
          <w:p w14:paraId="6A33EFEC">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□API</w:t>
            </w:r>
          </w:p>
        </w:tc>
        <w:tc>
          <w:tcPr>
            <w:tcW w:w="4402" w:type="dxa"/>
            <w:shd w:val="clear" w:color="auto" w:fill="auto"/>
            <w:vAlign w:val="center"/>
          </w:tcPr>
          <w:p w14:paraId="65880E05">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eastAsia="zh-CN"/>
              </w:rPr>
              <w:t>________%</w:t>
            </w:r>
          </w:p>
        </w:tc>
      </w:tr>
      <w:tr w14:paraId="41FD3FA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12EF4F6F">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w:t>
            </w:r>
            <w:r>
              <w:rPr>
                <w:rStyle w:val="21"/>
                <w:rFonts w:hint="eastAsia" w:ascii="新宋体" w:hAnsi="新宋体" w:eastAsia="新宋体" w:cs="新宋体"/>
                <w:lang w:eastAsia="zh-CN" w:bidi="ar"/>
              </w:rPr>
              <w:t>分账到境外</w:t>
            </w:r>
          </w:p>
        </w:tc>
        <w:tc>
          <w:tcPr>
            <w:tcW w:w="2410" w:type="dxa"/>
            <w:shd w:val="clear" w:color="auto" w:fill="auto"/>
            <w:vAlign w:val="center"/>
          </w:tcPr>
          <w:p w14:paraId="01C71CCF">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□API</w:t>
            </w:r>
          </w:p>
        </w:tc>
        <w:tc>
          <w:tcPr>
            <w:tcW w:w="4402" w:type="dxa"/>
            <w:shd w:val="clear" w:color="auto" w:fill="auto"/>
            <w:vAlign w:val="center"/>
          </w:tcPr>
          <w:p w14:paraId="4EA8EF9D">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u w:val="single"/>
                <w:lang w:eastAsia="zh-CN"/>
              </w:rPr>
              <w:t xml:space="preserve">        </w:t>
            </w:r>
            <w:r>
              <w:rPr>
                <w:rFonts w:hint="eastAsia" w:ascii="新宋体" w:hAnsi="新宋体" w:eastAsia="新宋体" w:cs="新宋体"/>
                <w:color w:val="000000"/>
                <w:sz w:val="21"/>
                <w:szCs w:val="21"/>
                <w:lang w:eastAsia="zh-CN"/>
              </w:rPr>
              <w:t>%，</w:t>
            </w:r>
            <w:r>
              <w:rPr>
                <w:rFonts w:hint="eastAsia" w:ascii="新宋体" w:hAnsi="新宋体" w:eastAsia="新宋体" w:cs="新宋体"/>
                <w:bCs/>
                <w:color w:val="000000"/>
                <w:sz w:val="21"/>
                <w:szCs w:val="21"/>
                <w:lang w:eastAsia="zh-CN" w:bidi="ar"/>
              </w:rPr>
              <w:t>起结金额</w:t>
            </w:r>
            <w:r>
              <w:rPr>
                <w:rFonts w:hint="eastAsia" w:ascii="新宋体" w:hAnsi="新宋体" w:eastAsia="新宋体" w:cs="新宋体"/>
                <w:color w:val="000000"/>
                <w:sz w:val="21"/>
                <w:szCs w:val="21"/>
                <w:u w:val="single"/>
                <w:lang w:eastAsia="zh-CN"/>
              </w:rPr>
              <w:t xml:space="preserve">        </w:t>
            </w:r>
            <w:r>
              <w:rPr>
                <w:rStyle w:val="21"/>
                <w:rFonts w:hint="eastAsia" w:ascii="新宋体" w:hAnsi="新宋体" w:eastAsia="新宋体" w:cs="新宋体"/>
                <w:lang w:eastAsia="zh-CN" w:bidi="ar"/>
              </w:rPr>
              <w:t>元</w:t>
            </w:r>
            <w:r>
              <w:rPr>
                <w:rStyle w:val="21"/>
                <w:rFonts w:hint="eastAsia" w:ascii="新宋体" w:hAnsi="新宋体" w:eastAsia="新宋体" w:cs="新宋体"/>
                <w:i/>
                <w:iCs/>
                <w:color w:val="0070C0"/>
                <w:lang w:eastAsia="zh-CN" w:bidi="ar"/>
              </w:rPr>
              <w:t>（结算币种：人民币）</w:t>
            </w:r>
          </w:p>
        </w:tc>
      </w:tr>
      <w:tr w14:paraId="4DB010E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16" w:hRule="atLeast"/>
          <w:jc w:val="center"/>
        </w:trPr>
        <w:tc>
          <w:tcPr>
            <w:tcW w:w="9207" w:type="dxa"/>
            <w:gridSpan w:val="3"/>
            <w:shd w:val="clear" w:color="auto" w:fill="B2B2B2"/>
            <w:vAlign w:val="center"/>
          </w:tcPr>
          <w:p w14:paraId="2B7F4CBF">
            <w:pPr>
              <w:widowControl/>
              <w:spacing w:line="240" w:lineRule="exact"/>
              <w:textAlignment w:val="center"/>
              <w:rPr>
                <w:rFonts w:hint="eastAsia" w:ascii="新宋体" w:hAnsi="新宋体" w:eastAsia="新宋体" w:cs="新宋体"/>
                <w:color w:val="000000"/>
                <w:sz w:val="21"/>
                <w:szCs w:val="21"/>
              </w:rPr>
            </w:pPr>
            <w:r>
              <w:rPr>
                <w:rFonts w:hint="eastAsia" w:ascii="新宋体" w:hAnsi="新宋体" w:eastAsia="新宋体" w:cs="新宋体"/>
                <w:b/>
                <w:color w:val="000000"/>
                <w:sz w:val="21"/>
                <w:szCs w:val="21"/>
                <w:lang w:bidi="ar"/>
              </w:rPr>
              <w:t>其他产品</w:t>
            </w:r>
          </w:p>
        </w:tc>
      </w:tr>
      <w:tr w14:paraId="19720D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17" w:hRule="atLeast"/>
          <w:jc w:val="center"/>
        </w:trPr>
        <w:tc>
          <w:tcPr>
            <w:tcW w:w="2395" w:type="dxa"/>
            <w:shd w:val="clear" w:color="auto" w:fill="F1F1F1" w:themeFill="background1" w:themeFillShade="F2"/>
            <w:vAlign w:val="center"/>
          </w:tcPr>
          <w:p w14:paraId="76846B3D">
            <w:pPr>
              <w:widowControl/>
              <w:spacing w:line="200" w:lineRule="exact"/>
              <w:jc w:val="center"/>
              <w:textAlignment w:val="center"/>
              <w:rPr>
                <w:rFonts w:hint="eastAsia" w:ascii="新宋体" w:hAnsi="新宋体" w:eastAsia="新宋体" w:cs="新宋体"/>
                <w:b/>
                <w:color w:val="000000"/>
                <w:sz w:val="21"/>
                <w:szCs w:val="21"/>
                <w:lang w:bidi="ar"/>
              </w:rPr>
            </w:pPr>
            <w:r>
              <w:rPr>
                <w:rFonts w:hint="eastAsia" w:ascii="新宋体" w:hAnsi="新宋体" w:eastAsia="新宋体" w:cs="新宋体"/>
                <w:b/>
                <w:color w:val="000000"/>
                <w:sz w:val="21"/>
                <w:szCs w:val="21"/>
                <w:lang w:eastAsia="zh-CN" w:bidi="ar"/>
              </w:rPr>
              <w:t>服务内容</w:t>
            </w:r>
          </w:p>
        </w:tc>
        <w:tc>
          <w:tcPr>
            <w:tcW w:w="2410" w:type="dxa"/>
            <w:shd w:val="clear" w:color="auto" w:fill="F1F1F1" w:themeFill="background1" w:themeFillShade="F2"/>
            <w:vAlign w:val="center"/>
          </w:tcPr>
          <w:p w14:paraId="51130BC1">
            <w:pPr>
              <w:widowControl/>
              <w:spacing w:line="200" w:lineRule="exact"/>
              <w:jc w:val="center"/>
              <w:textAlignment w:val="center"/>
              <w:rPr>
                <w:rFonts w:hint="eastAsia" w:ascii="新宋体" w:hAnsi="新宋体" w:eastAsia="新宋体" w:cs="新宋体"/>
                <w:color w:val="000000"/>
                <w:sz w:val="21"/>
                <w:szCs w:val="21"/>
                <w:lang w:bidi="ar"/>
              </w:rPr>
            </w:pPr>
            <w:r>
              <w:rPr>
                <w:rFonts w:hint="eastAsia" w:ascii="新宋体" w:hAnsi="新宋体" w:eastAsia="新宋体" w:cs="新宋体"/>
                <w:b/>
                <w:color w:val="000000"/>
                <w:sz w:val="21"/>
                <w:szCs w:val="21"/>
                <w:lang w:eastAsia="zh-CN" w:bidi="ar"/>
              </w:rPr>
              <w:t>接入方式</w:t>
            </w:r>
          </w:p>
        </w:tc>
        <w:tc>
          <w:tcPr>
            <w:tcW w:w="4402" w:type="dxa"/>
            <w:shd w:val="clear" w:color="auto" w:fill="F1F1F1" w:themeFill="background1" w:themeFillShade="F2"/>
            <w:vAlign w:val="center"/>
          </w:tcPr>
          <w:p w14:paraId="62B6CA0C">
            <w:pPr>
              <w:spacing w:line="200" w:lineRule="exact"/>
              <w:jc w:val="center"/>
              <w:textAlignment w:val="center"/>
              <w:rPr>
                <w:rFonts w:hint="eastAsia" w:ascii="新宋体" w:hAnsi="新宋体" w:eastAsia="新宋体" w:cs="新宋体"/>
                <w:color w:val="000000"/>
                <w:sz w:val="21"/>
                <w:szCs w:val="21"/>
              </w:rPr>
            </w:pPr>
            <w:r>
              <w:rPr>
                <w:rFonts w:hint="eastAsia" w:ascii="新宋体" w:hAnsi="新宋体" w:eastAsia="新宋体" w:cs="新宋体"/>
                <w:b/>
                <w:color w:val="000000"/>
                <w:sz w:val="21"/>
                <w:szCs w:val="21"/>
                <w:lang w:eastAsia="zh-CN" w:bidi="ar"/>
              </w:rPr>
              <w:t>服务费用标准</w:t>
            </w:r>
          </w:p>
        </w:tc>
      </w:tr>
      <w:tr w14:paraId="0635408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477D7504">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bidi="ar"/>
              </w:rPr>
              <w:t>实名认证</w:t>
            </w:r>
          </w:p>
        </w:tc>
        <w:tc>
          <w:tcPr>
            <w:tcW w:w="2410" w:type="dxa"/>
            <w:shd w:val="clear" w:color="auto" w:fill="auto"/>
            <w:vAlign w:val="center"/>
          </w:tcPr>
          <w:p w14:paraId="32FF0228">
            <w:pPr>
              <w:spacing w:line="240" w:lineRule="exact"/>
              <w:rPr>
                <w:rFonts w:hint="eastAsia" w:ascii="新宋体" w:hAnsi="新宋体" w:eastAsia="新宋体" w:cs="新宋体"/>
                <w:color w:val="000000"/>
                <w:sz w:val="21"/>
                <w:szCs w:val="21"/>
              </w:rPr>
            </w:pPr>
            <w:r>
              <w:rPr>
                <w:rFonts w:hint="eastAsia" w:ascii="新宋体" w:hAnsi="新宋体" w:eastAsia="新宋体" w:cs="新宋体"/>
                <w:color w:val="000000"/>
                <w:sz w:val="21"/>
                <w:szCs w:val="21"/>
                <w:lang w:bidi="ar"/>
              </w:rPr>
              <w:t>□API</w:t>
            </w:r>
          </w:p>
        </w:tc>
        <w:tc>
          <w:tcPr>
            <w:tcW w:w="4402" w:type="dxa"/>
            <w:shd w:val="clear" w:color="auto" w:fill="auto"/>
            <w:vAlign w:val="center"/>
          </w:tcPr>
          <w:p w14:paraId="7C027AFD">
            <w:pPr>
              <w:widowControl/>
              <w:spacing w:line="240" w:lineRule="exact"/>
              <w:textAlignment w:val="center"/>
              <w:rPr>
                <w:rFonts w:hint="eastAsia" w:ascii="新宋体" w:hAnsi="新宋体" w:eastAsia="新宋体" w:cs="新宋体"/>
                <w:color w:val="000000"/>
                <w:sz w:val="21"/>
                <w:szCs w:val="21"/>
                <w:lang w:eastAsia="zh-CN"/>
              </w:rPr>
            </w:pP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74C4508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43F98EBA">
            <w:pPr>
              <w:widowControl/>
              <w:spacing w:line="240" w:lineRule="exact"/>
              <w:textAlignment w:val="center"/>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w:t>
            </w:r>
            <w:r>
              <w:rPr>
                <w:rStyle w:val="21"/>
                <w:rFonts w:hint="eastAsia" w:ascii="新宋体" w:hAnsi="新宋体" w:eastAsia="新宋体" w:cs="新宋体"/>
                <w:lang w:bidi="ar"/>
              </w:rPr>
              <w:t>支付单报送</w:t>
            </w:r>
          </w:p>
        </w:tc>
        <w:tc>
          <w:tcPr>
            <w:tcW w:w="2410" w:type="dxa"/>
            <w:shd w:val="clear" w:color="auto" w:fill="auto"/>
            <w:vAlign w:val="bottom"/>
          </w:tcPr>
          <w:p w14:paraId="57E54FEF">
            <w:pPr>
              <w:spacing w:line="240" w:lineRule="exact"/>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□API</w:t>
            </w:r>
          </w:p>
        </w:tc>
        <w:tc>
          <w:tcPr>
            <w:tcW w:w="4402" w:type="dxa"/>
            <w:shd w:val="clear" w:color="auto" w:fill="auto"/>
            <w:vAlign w:val="center"/>
          </w:tcPr>
          <w:p w14:paraId="13385FEA">
            <w:pPr>
              <w:widowControl/>
              <w:spacing w:line="240" w:lineRule="exact"/>
              <w:textAlignment w:val="center"/>
              <w:rPr>
                <w:rFonts w:hint="eastAsia" w:ascii="新宋体" w:hAnsi="新宋体" w:eastAsia="新宋体" w:cs="新宋体"/>
                <w:color w:val="000000"/>
                <w:sz w:val="21"/>
                <w:szCs w:val="21"/>
                <w:u w:val="single"/>
                <w:lang w:eastAsia="zh-CN"/>
              </w:rPr>
            </w:pPr>
          </w:p>
        </w:tc>
      </w:tr>
      <w:tr w14:paraId="4B21C47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2A530212">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sz w:val="21"/>
                <w:szCs w:val="21"/>
                <w:lang w:eastAsia="zh-CN" w:bidi="ar"/>
              </w:rPr>
              <w:t>□</w:t>
            </w:r>
            <w:r>
              <w:rPr>
                <w:rStyle w:val="21"/>
                <w:rFonts w:hint="eastAsia" w:ascii="新宋体" w:hAnsi="新宋体" w:eastAsia="新宋体" w:cs="新宋体"/>
                <w:color w:val="auto"/>
                <w:lang w:eastAsia="zh-CN" w:bidi="ar"/>
              </w:rPr>
              <w:t>运营商认证</w:t>
            </w:r>
          </w:p>
        </w:tc>
        <w:tc>
          <w:tcPr>
            <w:tcW w:w="2410" w:type="dxa"/>
            <w:shd w:val="clear" w:color="auto" w:fill="auto"/>
            <w:vAlign w:val="bottom"/>
          </w:tcPr>
          <w:p w14:paraId="4D834614">
            <w:pPr>
              <w:spacing w:line="240" w:lineRule="exact"/>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□API</w:t>
            </w:r>
          </w:p>
        </w:tc>
        <w:tc>
          <w:tcPr>
            <w:tcW w:w="4402" w:type="dxa"/>
            <w:shd w:val="clear" w:color="auto" w:fill="auto"/>
            <w:vAlign w:val="center"/>
          </w:tcPr>
          <w:p w14:paraId="4024496E">
            <w:pPr>
              <w:widowControl/>
              <w:spacing w:line="240" w:lineRule="exact"/>
              <w:textAlignment w:val="center"/>
              <w:rPr>
                <w:rFonts w:hint="eastAsia" w:ascii="新宋体" w:hAnsi="新宋体" w:eastAsia="新宋体" w:cs="新宋体"/>
                <w:color w:val="000000"/>
                <w:sz w:val="21"/>
                <w:szCs w:val="21"/>
                <w:u w:val="single"/>
                <w:lang w:eastAsia="zh-CN"/>
              </w:rPr>
            </w:pPr>
            <w:r>
              <w:rPr>
                <w:rFonts w:hint="eastAsia" w:ascii="新宋体" w:hAnsi="新宋体" w:eastAsia="新宋体" w:cs="新宋体"/>
                <w:color w:val="000000"/>
                <w:sz w:val="21"/>
                <w:szCs w:val="21"/>
                <w:u w:val="single"/>
                <w:lang w:eastAsia="zh-CN"/>
              </w:rPr>
              <w:t xml:space="preserve">       元</w:t>
            </w:r>
            <w:r>
              <w:rPr>
                <w:rFonts w:hint="eastAsia" w:ascii="新宋体" w:hAnsi="新宋体" w:eastAsia="新宋体" w:cs="新宋体"/>
                <w:color w:val="000000"/>
                <w:sz w:val="21"/>
                <w:szCs w:val="21"/>
                <w:lang w:eastAsia="zh-CN"/>
              </w:rPr>
              <w:t>/笔</w:t>
            </w:r>
          </w:p>
        </w:tc>
      </w:tr>
      <w:tr w14:paraId="56E5B71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15" w:type="dxa"/>
            <w:left w:w="15" w:type="dxa"/>
            <w:bottom w:w="15" w:type="dxa"/>
            <w:right w:w="15" w:type="dxa"/>
          </w:tblCellMar>
        </w:tblPrEx>
        <w:trPr>
          <w:trHeight w:val="363" w:hRule="atLeast"/>
          <w:jc w:val="center"/>
        </w:trPr>
        <w:tc>
          <w:tcPr>
            <w:tcW w:w="2395" w:type="dxa"/>
            <w:shd w:val="clear" w:color="auto" w:fill="auto"/>
            <w:vAlign w:val="center"/>
          </w:tcPr>
          <w:p w14:paraId="697B22AE">
            <w:pPr>
              <w:widowControl/>
              <w:spacing w:line="240" w:lineRule="exact"/>
              <w:textAlignment w:val="center"/>
              <w:rPr>
                <w:rFonts w:hint="eastAsia" w:ascii="新宋体" w:hAnsi="新宋体" w:eastAsia="新宋体" w:cs="新宋体"/>
                <w:color w:val="000000"/>
                <w:sz w:val="21"/>
                <w:szCs w:val="21"/>
                <w:lang w:eastAsia="zh-CN" w:bidi="ar"/>
              </w:rPr>
            </w:pPr>
            <w:r>
              <w:rPr>
                <w:rFonts w:hint="eastAsia" w:ascii="新宋体" w:hAnsi="新宋体" w:eastAsia="新宋体" w:cs="新宋体"/>
                <w:color w:val="000000"/>
                <w:sz w:val="21"/>
                <w:szCs w:val="21"/>
                <w:lang w:eastAsia="zh-CN" w:bidi="ar"/>
              </w:rPr>
              <w:t>□商户接入费</w:t>
            </w:r>
            <w:r>
              <w:rPr>
                <w:rStyle w:val="21"/>
                <w:rFonts w:hint="eastAsia" w:ascii="新宋体" w:hAnsi="新宋体" w:eastAsia="新宋体" w:cs="新宋体"/>
                <w:lang w:eastAsia="zh-CN" w:bidi="ar"/>
              </w:rPr>
              <w:t>（一次性）</w:t>
            </w:r>
          </w:p>
        </w:tc>
        <w:tc>
          <w:tcPr>
            <w:tcW w:w="2410" w:type="dxa"/>
            <w:shd w:val="clear" w:color="auto" w:fill="auto"/>
            <w:vAlign w:val="bottom"/>
          </w:tcPr>
          <w:p w14:paraId="33EE6D6A">
            <w:pPr>
              <w:spacing w:line="240" w:lineRule="exact"/>
              <w:rPr>
                <w:rFonts w:hint="eastAsia" w:ascii="新宋体" w:hAnsi="新宋体" w:eastAsia="新宋体" w:cs="新宋体"/>
                <w:color w:val="000000"/>
                <w:sz w:val="21"/>
                <w:szCs w:val="21"/>
                <w:lang w:bidi="ar"/>
              </w:rPr>
            </w:pPr>
            <w:r>
              <w:rPr>
                <w:rFonts w:hint="eastAsia" w:ascii="新宋体" w:hAnsi="新宋体" w:eastAsia="新宋体" w:cs="新宋体"/>
                <w:color w:val="000000"/>
                <w:sz w:val="21"/>
                <w:szCs w:val="21"/>
                <w:lang w:bidi="ar"/>
              </w:rPr>
              <w:t>□API</w:t>
            </w:r>
          </w:p>
        </w:tc>
        <w:tc>
          <w:tcPr>
            <w:tcW w:w="4402" w:type="dxa"/>
            <w:shd w:val="clear" w:color="auto" w:fill="auto"/>
            <w:vAlign w:val="center"/>
          </w:tcPr>
          <w:p w14:paraId="5CE84D2E">
            <w:pPr>
              <w:widowControl/>
              <w:spacing w:line="240" w:lineRule="exact"/>
              <w:jc w:val="center"/>
              <w:textAlignment w:val="center"/>
              <w:rPr>
                <w:rFonts w:hint="eastAsia" w:ascii="新宋体" w:hAnsi="新宋体" w:eastAsia="新宋体" w:cs="新宋体"/>
                <w:color w:val="000000"/>
                <w:sz w:val="21"/>
                <w:szCs w:val="21"/>
                <w:lang w:eastAsia="zh-CN"/>
              </w:rPr>
            </w:pPr>
          </w:p>
        </w:tc>
      </w:tr>
    </w:tbl>
    <w:p w14:paraId="45AE2EAC">
      <w:pPr>
        <w:pStyle w:val="15"/>
        <w:tabs>
          <w:tab w:val="left" w:pos="7828"/>
          <w:tab w:val="left" w:pos="8991"/>
        </w:tabs>
        <w:spacing w:line="276" w:lineRule="auto"/>
        <w:rPr>
          <w:rFonts w:hint="eastAsia" w:ascii="新宋体" w:hAnsi="新宋体" w:eastAsia="新宋体" w:cs="新宋体"/>
          <w:sz w:val="21"/>
          <w:szCs w:val="21"/>
          <w:lang w:eastAsia="zh-CN"/>
        </w:rPr>
      </w:pPr>
    </w:p>
    <w:p w14:paraId="4641483D">
      <w:pPr>
        <w:pStyle w:val="15"/>
        <w:tabs>
          <w:tab w:val="left" w:pos="7828"/>
          <w:tab w:val="left" w:pos="8991"/>
        </w:tabs>
        <w:spacing w:line="276" w:lineRule="auto"/>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注：</w:t>
      </w:r>
    </w:p>
    <w:p w14:paraId="517D1823">
      <w:pPr>
        <w:pStyle w:val="15"/>
        <w:tabs>
          <w:tab w:val="left" w:pos="7828"/>
          <w:tab w:val="left" w:pos="8991"/>
        </w:tabs>
        <w:spacing w:line="276" w:lineRule="auto"/>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1、□选的部分，选择时请使用“</w:t>
      </w:r>
      <w:r>
        <w:rPr>
          <w:rFonts w:hint="eastAsia" w:ascii="新宋体" w:hAnsi="新宋体" w:eastAsia="新宋体" w:cs="新宋体"/>
          <w:sz w:val="21"/>
          <w:szCs w:val="21"/>
          <w:lang w:eastAsia="zh-CN"/>
        </w:rPr>
        <w:sym w:font="Wingdings" w:char="F0FE"/>
      </w:r>
      <w:r>
        <w:rPr>
          <w:rFonts w:hint="eastAsia" w:ascii="新宋体" w:hAnsi="新宋体" w:eastAsia="新宋体" w:cs="新宋体"/>
          <w:sz w:val="21"/>
          <w:szCs w:val="21"/>
          <w:lang w:eastAsia="zh-CN"/>
        </w:rPr>
        <w:t>”， 不选择时请不作任何标记。</w:t>
      </w:r>
    </w:p>
    <w:p w14:paraId="4713D799">
      <w:pPr>
        <w:pStyle w:val="15"/>
        <w:tabs>
          <w:tab w:val="left" w:pos="7828"/>
          <w:tab w:val="left" w:pos="8991"/>
        </w:tabs>
        <w:spacing w:line="276" w:lineRule="auto"/>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2、微信支付</w:t>
      </w:r>
      <w:r>
        <w:rPr>
          <w:rFonts w:hint="eastAsia" w:ascii="新宋体" w:hAnsi="新宋体" w:eastAsia="新宋体" w:cs="新宋体"/>
          <w:szCs w:val="21"/>
          <w:lang w:eastAsia="zh-CN"/>
        </w:rPr>
        <w:t>不包括</w:t>
      </w:r>
      <w:r>
        <w:rPr>
          <w:rFonts w:hint="eastAsia" w:ascii="新宋体" w:hAnsi="新宋体" w:eastAsia="新宋体" w:cs="新宋体"/>
          <w:sz w:val="21"/>
          <w:szCs w:val="21"/>
          <w:lang w:eastAsia="zh-CN"/>
        </w:rPr>
        <w:t>特殊行业</w:t>
      </w:r>
      <w:r>
        <w:rPr>
          <w:rFonts w:hint="eastAsia" w:ascii="新宋体" w:hAnsi="新宋体" w:eastAsia="新宋体" w:cs="新宋体"/>
          <w:szCs w:val="21"/>
          <w:lang w:eastAsia="zh-CN"/>
        </w:rPr>
        <w:t>，特殊行业</w:t>
      </w:r>
      <w:r>
        <w:rPr>
          <w:rFonts w:hint="eastAsia" w:ascii="新宋体" w:hAnsi="新宋体" w:eastAsia="新宋体" w:cs="新宋体"/>
          <w:sz w:val="21"/>
          <w:szCs w:val="21"/>
          <w:lang w:eastAsia="zh-CN"/>
        </w:rPr>
        <w:t>是指：在线图书/视频/音乐、网络门户/资讯/论坛、网络游戏、网络直播/软件/建站、网络推广/网络广告、网络团购服务平台、在线旅游服务平台、在线订餐服务平台。</w:t>
      </w:r>
    </w:p>
    <w:p w14:paraId="5F42DD19">
      <w:pPr>
        <w:rPr>
          <w:rFonts w:hint="eastAsia" w:ascii="新宋体" w:hAnsi="新宋体" w:eastAsia="新宋体" w:cs="新宋体"/>
          <w:sz w:val="21"/>
          <w:szCs w:val="21"/>
          <w:lang w:eastAsia="zh-CN"/>
        </w:rPr>
      </w:pPr>
    </w:p>
    <w:sectPr>
      <w:headerReference r:id="rId5" w:type="default"/>
      <w:footerReference r:id="rId6" w:type="default"/>
      <w:pgSz w:w="11900" w:h="16840"/>
      <w:pgMar w:top="1062" w:right="1800" w:bottom="1047" w:left="1800" w:header="0"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057CD">
    <w:pPr>
      <w:pStyle w:val="5"/>
      <w:jc w:val="center"/>
      <w:rPr>
        <w:color w:val="000000" w:themeColor="text1"/>
        <w14:textFill>
          <w14:solidFill>
            <w14:schemeClr w14:val="tx1"/>
          </w14:solidFill>
        </w14:textFill>
      </w:rPr>
    </w:pP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w:t>
    </w:r>
    <w:r>
      <w:rPr>
        <w:color w:val="000000" w:themeColor="text1"/>
        <w14:textFill>
          <w14:solidFill>
            <w14:schemeClr w14:val="tx1"/>
          </w14:solidFill>
        </w14:textFill>
      </w:rPr>
      <w:fldChar w:fldCharType="end"/>
    </w:r>
    <w:r>
      <w:rPr>
        <w:color w:val="000000" w:themeColor="text1"/>
        <w:lang w:val="zh-CN"/>
        <w14:textFill>
          <w14:solidFill>
            <w14:schemeClr w14:val="tx1"/>
          </w14:solidFill>
        </w14:textFill>
      </w:rPr>
      <w:t xml:space="preserve"> /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NUMPAGES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w:t>
    </w:r>
    <w:r>
      <w:rPr>
        <w:color w:val="000000" w:themeColor="text1"/>
        <w14:textFill>
          <w14:solidFill>
            <w14:schemeClr w14:val="tx1"/>
          </w14:solidFill>
        </w14:textFill>
      </w:rPr>
      <w:fldChar w:fldCharType="end"/>
    </w:r>
  </w:p>
  <w:p w14:paraId="3C35266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D9CC0">
    <w:pPr>
      <w:pStyle w:val="5"/>
      <w:jc w:val="center"/>
      <w:rPr>
        <w:color w:val="000000" w:themeColor="text1"/>
        <w14:textFill>
          <w14:solidFill>
            <w14:schemeClr w14:val="tx1"/>
          </w14:solidFill>
        </w14:textFill>
      </w:rPr>
    </w:pPr>
    <w:r>
      <w:rPr>
        <w:color w:val="000000" w:themeColor="text1"/>
        <w:lang w:val="zh-CN"/>
        <w14:textFill>
          <w14:solidFill>
            <w14:schemeClr w14:val="tx1"/>
          </w14:solidFill>
        </w14:textFill>
      </w:rPr>
      <w:t xml:space="preserve">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PAGE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12</w:t>
    </w:r>
    <w:r>
      <w:rPr>
        <w:color w:val="000000" w:themeColor="text1"/>
        <w14:textFill>
          <w14:solidFill>
            <w14:schemeClr w14:val="tx1"/>
          </w14:solidFill>
        </w14:textFill>
      </w:rPr>
      <w:fldChar w:fldCharType="end"/>
    </w:r>
    <w:r>
      <w:rPr>
        <w:color w:val="000000" w:themeColor="text1"/>
        <w:lang w:val="zh-CN"/>
        <w14:textFill>
          <w14:solidFill>
            <w14:schemeClr w14:val="tx1"/>
          </w14:solidFill>
        </w14:textFill>
      </w:rPr>
      <w:t xml:space="preserve"> / </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NUMPAGES  \* Arabic  \* MERGEFORMAT</w:instrText>
    </w:r>
    <w:r>
      <w:rPr>
        <w:color w:val="000000" w:themeColor="text1"/>
        <w14:textFill>
          <w14:solidFill>
            <w14:schemeClr w14:val="tx1"/>
          </w14:solidFill>
        </w14:textFill>
      </w:rPr>
      <w:fldChar w:fldCharType="separate"/>
    </w:r>
    <w:r>
      <w:rPr>
        <w:color w:val="000000" w:themeColor="text1"/>
        <w:lang w:val="zh-CN"/>
        <w14:textFill>
          <w14:solidFill>
            <w14:schemeClr w14:val="tx1"/>
          </w14:solidFill>
        </w14:textFill>
      </w:rPr>
      <w:t>12</w:t>
    </w:r>
    <w:r>
      <w:rPr>
        <w:color w:val="000000" w:themeColor="text1"/>
        <w14:textFill>
          <w14:solidFill>
            <w14:schemeClr w14:val="tx1"/>
          </w14:solidFill>
        </w14:textFill>
      </w:rPr>
      <w:fldChar w:fldCharType="end"/>
    </w:r>
  </w:p>
  <w:p w14:paraId="50F346B8">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5D4DB">
    <w:pPr>
      <w:pStyle w:val="6"/>
      <w:wordWrap w:val="0"/>
      <w:jc w:val="left"/>
    </w:pPr>
  </w:p>
  <w:p w14:paraId="10F3A8A8">
    <w:pPr>
      <w:pStyle w:val="6"/>
      <w:wordWrap w:val="0"/>
      <w:jc w:val="right"/>
    </w:pPr>
    <w:r>
      <w:t xml:space="preserve"> </w:t>
    </w:r>
    <w:r>
      <w:rPr>
        <w:lang w:eastAsia="zh-CN"/>
      </w:rPr>
      <w:drawing>
        <wp:inline distT="0" distB="0" distL="0" distR="0">
          <wp:extent cx="336550" cy="236855"/>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0014" cy="239531"/>
                  </a:xfrm>
                  <a:prstGeom prst="rect">
                    <a:avLst/>
                  </a:prstGeom>
                </pic:spPr>
              </pic:pic>
            </a:graphicData>
          </a:graphic>
        </wp:inline>
      </w:drawing>
    </w:r>
    <w:r>
      <w:t xml:space="preserve">                                                         </w:t>
    </w:r>
    <w:r>
      <w:rPr>
        <w:lang w:eastAsia="zh-CN"/>
      </w:rPr>
      <w:drawing>
        <wp:inline distT="0" distB="0" distL="0" distR="0">
          <wp:extent cx="1576070" cy="270510"/>
          <wp:effectExtent l="0" t="0" r="508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691275" cy="2905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B22BF">
    <w:pPr>
      <w:pStyle w:val="6"/>
      <w:wordWrap w:val="0"/>
      <w:jc w:val="left"/>
    </w:pPr>
  </w:p>
  <w:p w14:paraId="7820CB81">
    <w:pPr>
      <w:pStyle w:val="6"/>
      <w:wordWrap w:val="0"/>
      <w:jc w:val="right"/>
    </w:pPr>
    <w:r>
      <w:t xml:space="preserve"> </w:t>
    </w:r>
    <w:r>
      <w:rPr>
        <w:lang w:eastAsia="zh-CN"/>
      </w:rPr>
      <w:drawing>
        <wp:inline distT="0" distB="0" distL="0" distR="0">
          <wp:extent cx="336550" cy="236855"/>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0014" cy="239531"/>
                  </a:xfrm>
                  <a:prstGeom prst="rect">
                    <a:avLst/>
                  </a:prstGeom>
                </pic:spPr>
              </pic:pic>
            </a:graphicData>
          </a:graphic>
        </wp:inline>
      </w:drawing>
    </w:r>
    <w:r>
      <w:t xml:space="preserve">                                                         </w:t>
    </w:r>
    <w:r>
      <w:rPr>
        <w:lang w:eastAsia="zh-CN"/>
      </w:rPr>
      <w:drawing>
        <wp:inline distT="0" distB="0" distL="0" distR="0">
          <wp:extent cx="1576070" cy="270510"/>
          <wp:effectExtent l="0" t="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691275" cy="2905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750EA3"/>
    <w:multiLevelType w:val="multilevel"/>
    <w:tmpl w:val="01750EA3"/>
    <w:lvl w:ilvl="0" w:tentative="0">
      <w:start w:val="1"/>
      <w:numFmt w:val="chineseCountingThousand"/>
      <w:suff w:val="space"/>
      <w:lvlText w:val="第%1条"/>
      <w:lvlJc w:val="left"/>
      <w:pPr>
        <w:ind w:left="420"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07A32036"/>
    <w:multiLevelType w:val="multilevel"/>
    <w:tmpl w:val="07A32036"/>
    <w:lvl w:ilvl="0" w:tentative="0">
      <w:start w:val="1"/>
      <w:numFmt w:val="chineseCountingThousand"/>
      <w:suff w:val="space"/>
      <w:lvlText w:val="第%1条"/>
      <w:lvlJc w:val="left"/>
      <w:pPr>
        <w:ind w:left="846"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1CD8519A"/>
    <w:multiLevelType w:val="multilevel"/>
    <w:tmpl w:val="1CD8519A"/>
    <w:lvl w:ilvl="0" w:tentative="0">
      <w:start w:val="1"/>
      <w:numFmt w:val="decimal"/>
      <w:suff w:val="space"/>
      <w:lvlText w:val="%1."/>
      <w:lvlJc w:val="left"/>
      <w:pPr>
        <w:ind w:left="113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5DC16CE"/>
    <w:multiLevelType w:val="multilevel"/>
    <w:tmpl w:val="25DC16CE"/>
    <w:lvl w:ilvl="0" w:tentative="0">
      <w:start w:val="1"/>
      <w:numFmt w:val="decimal"/>
      <w:suff w:val="space"/>
      <w:lvlText w:val="%1."/>
      <w:lvlJc w:val="left"/>
      <w:pPr>
        <w:ind w:left="113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2503069"/>
    <w:multiLevelType w:val="multilevel"/>
    <w:tmpl w:val="42503069"/>
    <w:lvl w:ilvl="0" w:tentative="0">
      <w:start w:val="1"/>
      <w:numFmt w:val="decimal"/>
      <w:suff w:val="space"/>
      <w:lvlText w:val="%1."/>
      <w:lvlJc w:val="left"/>
      <w:pPr>
        <w:ind w:left="845"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76828B5"/>
    <w:multiLevelType w:val="multilevel"/>
    <w:tmpl w:val="476828B5"/>
    <w:lvl w:ilvl="0" w:tentative="0">
      <w:start w:val="1"/>
      <w:numFmt w:val="chineseCountingThousand"/>
      <w:suff w:val="space"/>
      <w:lvlText w:val="(%1)"/>
      <w:lvlJc w:val="left"/>
      <w:pPr>
        <w:ind w:left="98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A097F51"/>
    <w:multiLevelType w:val="multilevel"/>
    <w:tmpl w:val="4A097F51"/>
    <w:lvl w:ilvl="0" w:tentative="0">
      <w:start w:val="1"/>
      <w:numFmt w:val="chineseCountingThousand"/>
      <w:suff w:val="space"/>
      <w:lvlText w:val="(%1)"/>
      <w:lvlJc w:val="left"/>
      <w:pPr>
        <w:ind w:left="846"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A5D0E93"/>
    <w:multiLevelType w:val="multilevel"/>
    <w:tmpl w:val="4A5D0E93"/>
    <w:lvl w:ilvl="0" w:tentative="0">
      <w:start w:val="1"/>
      <w:numFmt w:val="decimal"/>
      <w:suff w:val="space"/>
      <w:lvlText w:val="%1."/>
      <w:lvlJc w:val="left"/>
      <w:pPr>
        <w:ind w:left="113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4B732BC"/>
    <w:multiLevelType w:val="multilevel"/>
    <w:tmpl w:val="54B732BC"/>
    <w:lvl w:ilvl="0" w:tentative="0">
      <w:start w:val="1"/>
      <w:numFmt w:val="decimal"/>
      <w:suff w:val="space"/>
      <w:lvlText w:val="%1."/>
      <w:lvlJc w:val="left"/>
      <w:pPr>
        <w:ind w:left="113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A0971F7"/>
    <w:multiLevelType w:val="multilevel"/>
    <w:tmpl w:val="7A0971F7"/>
    <w:lvl w:ilvl="0" w:tentative="0">
      <w:start w:val="1"/>
      <w:numFmt w:val="chineseCountingThousand"/>
      <w:suff w:val="space"/>
      <w:lvlText w:val="(%1)"/>
      <w:lvlJc w:val="left"/>
      <w:pPr>
        <w:ind w:left="98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4"/>
  </w:num>
  <w:num w:numId="3">
    <w:abstractNumId w:val="2"/>
  </w:num>
  <w:num w:numId="4">
    <w:abstractNumId w:val="5"/>
  </w:num>
  <w:num w:numId="5">
    <w:abstractNumId w:val="6"/>
  </w:num>
  <w:num w:numId="6">
    <w:abstractNumId w:val="7"/>
  </w:num>
  <w:num w:numId="7">
    <w:abstractNumId w:val="8"/>
  </w:num>
  <w:num w:numId="8">
    <w:abstractNumId w:val="9"/>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1"/>
  <w:bordersDoNotSurroundFooter w:val="1"/>
  <w:trackRevisions w:val="1"/>
  <w:documentProtection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933"/>
    <w:rsid w:val="000205C6"/>
    <w:rsid w:val="00026A41"/>
    <w:rsid w:val="00027CA3"/>
    <w:rsid w:val="000448D8"/>
    <w:rsid w:val="00044A3D"/>
    <w:rsid w:val="0004795A"/>
    <w:rsid w:val="00050109"/>
    <w:rsid w:val="000523A2"/>
    <w:rsid w:val="000622B1"/>
    <w:rsid w:val="00087C88"/>
    <w:rsid w:val="00090739"/>
    <w:rsid w:val="00094584"/>
    <w:rsid w:val="00097C26"/>
    <w:rsid w:val="000A48FA"/>
    <w:rsid w:val="000B2FE9"/>
    <w:rsid w:val="000C066E"/>
    <w:rsid w:val="000D6CFE"/>
    <w:rsid w:val="000E449D"/>
    <w:rsid w:val="000E55B2"/>
    <w:rsid w:val="000E6922"/>
    <w:rsid w:val="000F010F"/>
    <w:rsid w:val="000F3413"/>
    <w:rsid w:val="000F537C"/>
    <w:rsid w:val="00100D18"/>
    <w:rsid w:val="0011182D"/>
    <w:rsid w:val="00117037"/>
    <w:rsid w:val="00143FC0"/>
    <w:rsid w:val="001568F2"/>
    <w:rsid w:val="00156E92"/>
    <w:rsid w:val="00164387"/>
    <w:rsid w:val="001673A9"/>
    <w:rsid w:val="00172A27"/>
    <w:rsid w:val="00182FAA"/>
    <w:rsid w:val="001835AC"/>
    <w:rsid w:val="00186FC8"/>
    <w:rsid w:val="0019150D"/>
    <w:rsid w:val="001A015B"/>
    <w:rsid w:val="001A6A56"/>
    <w:rsid w:val="001A6EE4"/>
    <w:rsid w:val="001A715D"/>
    <w:rsid w:val="001B02F1"/>
    <w:rsid w:val="001B6190"/>
    <w:rsid w:val="001D00C8"/>
    <w:rsid w:val="001D45D9"/>
    <w:rsid w:val="001E0DDD"/>
    <w:rsid w:val="001E11BD"/>
    <w:rsid w:val="001F4C10"/>
    <w:rsid w:val="002001A5"/>
    <w:rsid w:val="00206EE4"/>
    <w:rsid w:val="002100C8"/>
    <w:rsid w:val="0021126F"/>
    <w:rsid w:val="00222036"/>
    <w:rsid w:val="00223C82"/>
    <w:rsid w:val="002341E3"/>
    <w:rsid w:val="00234830"/>
    <w:rsid w:val="00236924"/>
    <w:rsid w:val="00237B78"/>
    <w:rsid w:val="00242BC8"/>
    <w:rsid w:val="00244DD6"/>
    <w:rsid w:val="00251F33"/>
    <w:rsid w:val="00253803"/>
    <w:rsid w:val="002612B5"/>
    <w:rsid w:val="002709A5"/>
    <w:rsid w:val="00277042"/>
    <w:rsid w:val="002A1AD3"/>
    <w:rsid w:val="002B2082"/>
    <w:rsid w:val="002B3DC2"/>
    <w:rsid w:val="002C18E7"/>
    <w:rsid w:val="002C4691"/>
    <w:rsid w:val="002E2A46"/>
    <w:rsid w:val="002E3D62"/>
    <w:rsid w:val="002E44F1"/>
    <w:rsid w:val="003018DB"/>
    <w:rsid w:val="003120D9"/>
    <w:rsid w:val="003162F3"/>
    <w:rsid w:val="00320770"/>
    <w:rsid w:val="00320FA8"/>
    <w:rsid w:val="00321E29"/>
    <w:rsid w:val="003515F3"/>
    <w:rsid w:val="00356501"/>
    <w:rsid w:val="00356DAB"/>
    <w:rsid w:val="00385377"/>
    <w:rsid w:val="00385FC0"/>
    <w:rsid w:val="00387515"/>
    <w:rsid w:val="0039631C"/>
    <w:rsid w:val="003A06C7"/>
    <w:rsid w:val="003A2666"/>
    <w:rsid w:val="003A74B1"/>
    <w:rsid w:val="003B369B"/>
    <w:rsid w:val="003D3C0D"/>
    <w:rsid w:val="003F3B4E"/>
    <w:rsid w:val="003F4F26"/>
    <w:rsid w:val="00403118"/>
    <w:rsid w:val="004135DB"/>
    <w:rsid w:val="004206CB"/>
    <w:rsid w:val="00423FD6"/>
    <w:rsid w:val="00431B1D"/>
    <w:rsid w:val="004732A8"/>
    <w:rsid w:val="00491ADA"/>
    <w:rsid w:val="004922E5"/>
    <w:rsid w:val="004C6ED6"/>
    <w:rsid w:val="004D6228"/>
    <w:rsid w:val="004F32CC"/>
    <w:rsid w:val="005019C3"/>
    <w:rsid w:val="00502174"/>
    <w:rsid w:val="0050321E"/>
    <w:rsid w:val="00514311"/>
    <w:rsid w:val="0051756C"/>
    <w:rsid w:val="00517FE0"/>
    <w:rsid w:val="00523EC1"/>
    <w:rsid w:val="00531D35"/>
    <w:rsid w:val="00532124"/>
    <w:rsid w:val="0054113A"/>
    <w:rsid w:val="005433FC"/>
    <w:rsid w:val="00555F9C"/>
    <w:rsid w:val="00556DC0"/>
    <w:rsid w:val="00557FB2"/>
    <w:rsid w:val="00562924"/>
    <w:rsid w:val="00563AE7"/>
    <w:rsid w:val="00567D93"/>
    <w:rsid w:val="00576579"/>
    <w:rsid w:val="005802B6"/>
    <w:rsid w:val="0058531C"/>
    <w:rsid w:val="005855DF"/>
    <w:rsid w:val="00585ADB"/>
    <w:rsid w:val="00585DEB"/>
    <w:rsid w:val="005A3A89"/>
    <w:rsid w:val="005A6460"/>
    <w:rsid w:val="005B36C0"/>
    <w:rsid w:val="005B5E76"/>
    <w:rsid w:val="005B704F"/>
    <w:rsid w:val="005C396F"/>
    <w:rsid w:val="005C7EEA"/>
    <w:rsid w:val="005D61C4"/>
    <w:rsid w:val="005E45F2"/>
    <w:rsid w:val="005E468A"/>
    <w:rsid w:val="005E720E"/>
    <w:rsid w:val="00603B09"/>
    <w:rsid w:val="00603F9E"/>
    <w:rsid w:val="0060702D"/>
    <w:rsid w:val="00610239"/>
    <w:rsid w:val="0061328B"/>
    <w:rsid w:val="00614CA1"/>
    <w:rsid w:val="00625C67"/>
    <w:rsid w:val="006268CF"/>
    <w:rsid w:val="00632A30"/>
    <w:rsid w:val="00642532"/>
    <w:rsid w:val="00644A7B"/>
    <w:rsid w:val="00661E3C"/>
    <w:rsid w:val="00664B9E"/>
    <w:rsid w:val="00672DE9"/>
    <w:rsid w:val="00677DD0"/>
    <w:rsid w:val="00687B86"/>
    <w:rsid w:val="006B035B"/>
    <w:rsid w:val="006C6697"/>
    <w:rsid w:val="006D1FC1"/>
    <w:rsid w:val="006E22E6"/>
    <w:rsid w:val="006E56E6"/>
    <w:rsid w:val="006E63AF"/>
    <w:rsid w:val="006F3394"/>
    <w:rsid w:val="007015EC"/>
    <w:rsid w:val="00702126"/>
    <w:rsid w:val="007028F2"/>
    <w:rsid w:val="00707E52"/>
    <w:rsid w:val="0071191F"/>
    <w:rsid w:val="00712D93"/>
    <w:rsid w:val="007162ED"/>
    <w:rsid w:val="0072116D"/>
    <w:rsid w:val="0072477A"/>
    <w:rsid w:val="007265A7"/>
    <w:rsid w:val="007307F6"/>
    <w:rsid w:val="00732042"/>
    <w:rsid w:val="00740983"/>
    <w:rsid w:val="00773896"/>
    <w:rsid w:val="007813A2"/>
    <w:rsid w:val="0078774A"/>
    <w:rsid w:val="0079000E"/>
    <w:rsid w:val="007B0EC2"/>
    <w:rsid w:val="007B6316"/>
    <w:rsid w:val="007C3796"/>
    <w:rsid w:val="007F2E1C"/>
    <w:rsid w:val="007F3DB7"/>
    <w:rsid w:val="00801489"/>
    <w:rsid w:val="0080465A"/>
    <w:rsid w:val="0080502F"/>
    <w:rsid w:val="00805C33"/>
    <w:rsid w:val="00810077"/>
    <w:rsid w:val="00813576"/>
    <w:rsid w:val="008166A9"/>
    <w:rsid w:val="008223CF"/>
    <w:rsid w:val="008246AF"/>
    <w:rsid w:val="00826677"/>
    <w:rsid w:val="008323AF"/>
    <w:rsid w:val="00834AF7"/>
    <w:rsid w:val="0084331B"/>
    <w:rsid w:val="00851E46"/>
    <w:rsid w:val="00855148"/>
    <w:rsid w:val="00873833"/>
    <w:rsid w:val="008839B9"/>
    <w:rsid w:val="00885D9A"/>
    <w:rsid w:val="008A4756"/>
    <w:rsid w:val="008A5574"/>
    <w:rsid w:val="008C2CDA"/>
    <w:rsid w:val="008C31BA"/>
    <w:rsid w:val="008C4E97"/>
    <w:rsid w:val="008D5AA0"/>
    <w:rsid w:val="008E0290"/>
    <w:rsid w:val="00905380"/>
    <w:rsid w:val="00935A29"/>
    <w:rsid w:val="009425EC"/>
    <w:rsid w:val="00945F75"/>
    <w:rsid w:val="009469DD"/>
    <w:rsid w:val="00947EF4"/>
    <w:rsid w:val="009536E0"/>
    <w:rsid w:val="00961606"/>
    <w:rsid w:val="00961F63"/>
    <w:rsid w:val="00963921"/>
    <w:rsid w:val="009826CA"/>
    <w:rsid w:val="009827EF"/>
    <w:rsid w:val="0098710C"/>
    <w:rsid w:val="00991A3B"/>
    <w:rsid w:val="00995533"/>
    <w:rsid w:val="009955F1"/>
    <w:rsid w:val="009A6EB2"/>
    <w:rsid w:val="009B0938"/>
    <w:rsid w:val="009B2FF3"/>
    <w:rsid w:val="009C2194"/>
    <w:rsid w:val="009C5B69"/>
    <w:rsid w:val="009D4969"/>
    <w:rsid w:val="009D5005"/>
    <w:rsid w:val="009E0DAE"/>
    <w:rsid w:val="009E22B7"/>
    <w:rsid w:val="009E5613"/>
    <w:rsid w:val="00A07F34"/>
    <w:rsid w:val="00A159B7"/>
    <w:rsid w:val="00A31FEF"/>
    <w:rsid w:val="00A33E55"/>
    <w:rsid w:val="00A35D1B"/>
    <w:rsid w:val="00A40C60"/>
    <w:rsid w:val="00A51FF3"/>
    <w:rsid w:val="00A53443"/>
    <w:rsid w:val="00A6085D"/>
    <w:rsid w:val="00A60C53"/>
    <w:rsid w:val="00A61347"/>
    <w:rsid w:val="00A652F8"/>
    <w:rsid w:val="00A76DA2"/>
    <w:rsid w:val="00A77371"/>
    <w:rsid w:val="00A84E13"/>
    <w:rsid w:val="00A9294C"/>
    <w:rsid w:val="00A94192"/>
    <w:rsid w:val="00A94CA3"/>
    <w:rsid w:val="00A960C6"/>
    <w:rsid w:val="00AB2017"/>
    <w:rsid w:val="00AB4A5B"/>
    <w:rsid w:val="00AB7DE9"/>
    <w:rsid w:val="00AE14D1"/>
    <w:rsid w:val="00AE34EC"/>
    <w:rsid w:val="00AF5891"/>
    <w:rsid w:val="00B075B7"/>
    <w:rsid w:val="00B10473"/>
    <w:rsid w:val="00B115C9"/>
    <w:rsid w:val="00B14484"/>
    <w:rsid w:val="00B237E0"/>
    <w:rsid w:val="00B2578F"/>
    <w:rsid w:val="00B27018"/>
    <w:rsid w:val="00B31BA7"/>
    <w:rsid w:val="00B35533"/>
    <w:rsid w:val="00B4431E"/>
    <w:rsid w:val="00B50DAD"/>
    <w:rsid w:val="00B5194C"/>
    <w:rsid w:val="00B5371D"/>
    <w:rsid w:val="00B60C07"/>
    <w:rsid w:val="00B71EAD"/>
    <w:rsid w:val="00B756A6"/>
    <w:rsid w:val="00B75F4C"/>
    <w:rsid w:val="00B83E5E"/>
    <w:rsid w:val="00B8560D"/>
    <w:rsid w:val="00B9499A"/>
    <w:rsid w:val="00BA32F9"/>
    <w:rsid w:val="00BA4D71"/>
    <w:rsid w:val="00BA7C9E"/>
    <w:rsid w:val="00BB051D"/>
    <w:rsid w:val="00BC1E66"/>
    <w:rsid w:val="00BC3555"/>
    <w:rsid w:val="00BC3721"/>
    <w:rsid w:val="00BD2403"/>
    <w:rsid w:val="00BE4F92"/>
    <w:rsid w:val="00BF2CDB"/>
    <w:rsid w:val="00BF6095"/>
    <w:rsid w:val="00C67D60"/>
    <w:rsid w:val="00C826DA"/>
    <w:rsid w:val="00C834F4"/>
    <w:rsid w:val="00C878CA"/>
    <w:rsid w:val="00C907E5"/>
    <w:rsid w:val="00C944F5"/>
    <w:rsid w:val="00C967DD"/>
    <w:rsid w:val="00CA0E7D"/>
    <w:rsid w:val="00CB7FAF"/>
    <w:rsid w:val="00CC7E4C"/>
    <w:rsid w:val="00CD2A74"/>
    <w:rsid w:val="00CD3356"/>
    <w:rsid w:val="00CD7E44"/>
    <w:rsid w:val="00CE136A"/>
    <w:rsid w:val="00CE1E5C"/>
    <w:rsid w:val="00CE6F20"/>
    <w:rsid w:val="00CF0F19"/>
    <w:rsid w:val="00CF1D39"/>
    <w:rsid w:val="00CF50A7"/>
    <w:rsid w:val="00CF54B7"/>
    <w:rsid w:val="00CF691D"/>
    <w:rsid w:val="00D01403"/>
    <w:rsid w:val="00D01603"/>
    <w:rsid w:val="00D01C83"/>
    <w:rsid w:val="00D0684A"/>
    <w:rsid w:val="00D11494"/>
    <w:rsid w:val="00D16335"/>
    <w:rsid w:val="00D16AB9"/>
    <w:rsid w:val="00D25C76"/>
    <w:rsid w:val="00D44612"/>
    <w:rsid w:val="00D52EC8"/>
    <w:rsid w:val="00D60ECB"/>
    <w:rsid w:val="00D80041"/>
    <w:rsid w:val="00D8709A"/>
    <w:rsid w:val="00D9069E"/>
    <w:rsid w:val="00D94156"/>
    <w:rsid w:val="00D9557C"/>
    <w:rsid w:val="00DA685E"/>
    <w:rsid w:val="00DB7214"/>
    <w:rsid w:val="00DB79E4"/>
    <w:rsid w:val="00DC2609"/>
    <w:rsid w:val="00DD188E"/>
    <w:rsid w:val="00DD4222"/>
    <w:rsid w:val="00DF4A75"/>
    <w:rsid w:val="00E1061C"/>
    <w:rsid w:val="00E1766B"/>
    <w:rsid w:val="00E32A9E"/>
    <w:rsid w:val="00E3641A"/>
    <w:rsid w:val="00E514D7"/>
    <w:rsid w:val="00E625CE"/>
    <w:rsid w:val="00E70E34"/>
    <w:rsid w:val="00E742CE"/>
    <w:rsid w:val="00E775EF"/>
    <w:rsid w:val="00E827C3"/>
    <w:rsid w:val="00E90153"/>
    <w:rsid w:val="00E95DDC"/>
    <w:rsid w:val="00E9785B"/>
    <w:rsid w:val="00EA4D45"/>
    <w:rsid w:val="00EA772B"/>
    <w:rsid w:val="00EC784E"/>
    <w:rsid w:val="00ED365A"/>
    <w:rsid w:val="00EE49A4"/>
    <w:rsid w:val="00EF3A2D"/>
    <w:rsid w:val="00F026FD"/>
    <w:rsid w:val="00F04830"/>
    <w:rsid w:val="00F05BE9"/>
    <w:rsid w:val="00F12D4C"/>
    <w:rsid w:val="00F13B80"/>
    <w:rsid w:val="00F20BBA"/>
    <w:rsid w:val="00F237FC"/>
    <w:rsid w:val="00F26B31"/>
    <w:rsid w:val="00F40F54"/>
    <w:rsid w:val="00F4590A"/>
    <w:rsid w:val="00F47750"/>
    <w:rsid w:val="00F55CE9"/>
    <w:rsid w:val="00F63FCF"/>
    <w:rsid w:val="00F6479A"/>
    <w:rsid w:val="00F65725"/>
    <w:rsid w:val="00F65B50"/>
    <w:rsid w:val="00F76C7F"/>
    <w:rsid w:val="00F86BBE"/>
    <w:rsid w:val="00F93C50"/>
    <w:rsid w:val="00FA2B32"/>
    <w:rsid w:val="00FA5D6B"/>
    <w:rsid w:val="00FA5FF6"/>
    <w:rsid w:val="00FB3E31"/>
    <w:rsid w:val="00FB7E6E"/>
    <w:rsid w:val="00FC136A"/>
    <w:rsid w:val="00FC47DD"/>
    <w:rsid w:val="00FC671C"/>
    <w:rsid w:val="00FD0DFA"/>
    <w:rsid w:val="00FD1441"/>
    <w:rsid w:val="00FF19F9"/>
    <w:rsid w:val="0490321C"/>
    <w:rsid w:val="05E109B4"/>
    <w:rsid w:val="07117B72"/>
    <w:rsid w:val="07E04580"/>
    <w:rsid w:val="08DA62E7"/>
    <w:rsid w:val="09077D81"/>
    <w:rsid w:val="09895685"/>
    <w:rsid w:val="0D60678E"/>
    <w:rsid w:val="0DA2616C"/>
    <w:rsid w:val="12A130C1"/>
    <w:rsid w:val="1AD8757A"/>
    <w:rsid w:val="21591953"/>
    <w:rsid w:val="2160759C"/>
    <w:rsid w:val="22F519A4"/>
    <w:rsid w:val="22FB7676"/>
    <w:rsid w:val="27D843EB"/>
    <w:rsid w:val="29B705B3"/>
    <w:rsid w:val="2E7D1F59"/>
    <w:rsid w:val="2F9E47D8"/>
    <w:rsid w:val="33275E6D"/>
    <w:rsid w:val="34486473"/>
    <w:rsid w:val="3B871F58"/>
    <w:rsid w:val="40027F58"/>
    <w:rsid w:val="41FA16D6"/>
    <w:rsid w:val="50A44909"/>
    <w:rsid w:val="51A96C75"/>
    <w:rsid w:val="53C75CCC"/>
    <w:rsid w:val="5C616BB8"/>
    <w:rsid w:val="5EC4401C"/>
    <w:rsid w:val="5FC860C9"/>
    <w:rsid w:val="621C584A"/>
    <w:rsid w:val="65623E4A"/>
    <w:rsid w:val="65D82D5A"/>
    <w:rsid w:val="66032EEA"/>
    <w:rsid w:val="668A795A"/>
    <w:rsid w:val="68363782"/>
    <w:rsid w:val="6BD31F2C"/>
    <w:rsid w:val="6DD57869"/>
    <w:rsid w:val="6FE50D7E"/>
    <w:rsid w:val="70445E5A"/>
    <w:rsid w:val="735F2717"/>
    <w:rsid w:val="747319BE"/>
    <w:rsid w:val="76E93042"/>
    <w:rsid w:val="77E04F20"/>
    <w:rsid w:val="78695690"/>
    <w:rsid w:val="7A9BDE31"/>
    <w:rsid w:val="7BFFFF49"/>
    <w:rsid w:val="7F23ABB7"/>
    <w:rsid w:val="7F3425AE"/>
    <w:rsid w:val="DF574D6E"/>
    <w:rsid w:val="DFFF9798"/>
    <w:rsid w:val="E3DFFF48"/>
    <w:rsid w:val="EF3EC28D"/>
    <w:rsid w:val="FEDBA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unhideWhenUsed/>
    <w:qFormat/>
    <w:uiPriority w:val="99"/>
    <w:rPr>
      <w:rFonts w:ascii="宋体" w:eastAsia="宋体"/>
      <w:sz w:val="24"/>
      <w:szCs w:val="24"/>
    </w:rPr>
  </w:style>
  <w:style w:type="paragraph" w:styleId="3">
    <w:name w:val="annotation text"/>
    <w:basedOn w:val="1"/>
    <w:link w:val="18"/>
    <w:unhideWhenUsed/>
    <w:qFormat/>
    <w:uiPriority w:val="99"/>
  </w:style>
  <w:style w:type="paragraph" w:styleId="4">
    <w:name w:val="Balloon Text"/>
    <w:basedOn w:val="1"/>
    <w:link w:val="20"/>
    <w:unhideWhenUsed/>
    <w:qFormat/>
    <w:uiPriority w:val="99"/>
    <w:rPr>
      <w:rFonts w:ascii="宋体" w:eastAsia="宋体"/>
      <w:sz w:val="18"/>
      <w:szCs w:val="18"/>
    </w:rPr>
  </w:style>
  <w:style w:type="paragraph" w:styleId="5">
    <w:name w:val="footer"/>
    <w:basedOn w:val="1"/>
    <w:link w:val="12"/>
    <w:unhideWhenUsed/>
    <w:qFormat/>
    <w:uiPriority w:val="99"/>
    <w:pPr>
      <w:tabs>
        <w:tab w:val="center" w:pos="4153"/>
        <w:tab w:val="right" w:pos="8306"/>
      </w:tabs>
      <w:snapToGrid w:val="0"/>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unhideWhenUsed/>
    <w:qFormat/>
    <w:uiPriority w:val="99"/>
    <w:rPr>
      <w:b/>
      <w:bCs/>
    </w:rPr>
  </w:style>
  <w:style w:type="character" w:styleId="10">
    <w:name w:val="page number"/>
    <w:basedOn w:val="9"/>
    <w:unhideWhenUsed/>
    <w:qFormat/>
    <w:uiPriority w:val="99"/>
  </w:style>
  <w:style w:type="character" w:styleId="11">
    <w:name w:val="annotation reference"/>
    <w:basedOn w:val="9"/>
    <w:unhideWhenUsed/>
    <w:qFormat/>
    <w:uiPriority w:val="99"/>
    <w:rPr>
      <w:sz w:val="21"/>
      <w:szCs w:val="21"/>
    </w:rPr>
  </w:style>
  <w:style w:type="character" w:customStyle="1" w:styleId="12">
    <w:name w:val="页脚 字符"/>
    <w:basedOn w:val="9"/>
    <w:link w:val="5"/>
    <w:qFormat/>
    <w:uiPriority w:val="99"/>
    <w:rPr>
      <w:kern w:val="0"/>
      <w:sz w:val="18"/>
      <w:szCs w:val="18"/>
      <w:lang w:eastAsia="en-US"/>
    </w:rPr>
  </w:style>
  <w:style w:type="character" w:customStyle="1" w:styleId="13">
    <w:name w:val="页眉 字符"/>
    <w:basedOn w:val="9"/>
    <w:link w:val="6"/>
    <w:qFormat/>
    <w:uiPriority w:val="99"/>
    <w:rPr>
      <w:kern w:val="0"/>
      <w:sz w:val="18"/>
      <w:szCs w:val="18"/>
      <w:lang w:eastAsia="en-US"/>
    </w:rPr>
  </w:style>
  <w:style w:type="table" w:customStyle="1" w:styleId="14">
    <w:name w:val="Table Normal"/>
    <w:unhideWhenUsed/>
    <w:qFormat/>
    <w:uiPriority w:val="2"/>
    <w:tblPr>
      <w:tblCellMar>
        <w:top w:w="0" w:type="dxa"/>
        <w:left w:w="0" w:type="dxa"/>
        <w:bottom w:w="0" w:type="dxa"/>
        <w:right w:w="0" w:type="dxa"/>
      </w:tblCellMar>
    </w:tblPr>
  </w:style>
  <w:style w:type="paragraph" w:customStyle="1" w:styleId="15">
    <w:name w:val="列出段落1"/>
    <w:basedOn w:val="1"/>
    <w:qFormat/>
    <w:uiPriority w:val="1"/>
  </w:style>
  <w:style w:type="paragraph" w:customStyle="1" w:styleId="16">
    <w:name w:val="Table Paragraph"/>
    <w:basedOn w:val="1"/>
    <w:qFormat/>
    <w:uiPriority w:val="1"/>
  </w:style>
  <w:style w:type="character" w:customStyle="1" w:styleId="17">
    <w:name w:val="文档结构图 字符"/>
    <w:basedOn w:val="9"/>
    <w:link w:val="2"/>
    <w:semiHidden/>
    <w:qFormat/>
    <w:uiPriority w:val="99"/>
    <w:rPr>
      <w:rFonts w:ascii="宋体" w:eastAsia="宋体"/>
      <w:kern w:val="0"/>
      <w:lang w:eastAsia="en-US"/>
    </w:rPr>
  </w:style>
  <w:style w:type="character" w:customStyle="1" w:styleId="18">
    <w:name w:val="批注文字 字符"/>
    <w:basedOn w:val="9"/>
    <w:link w:val="3"/>
    <w:semiHidden/>
    <w:qFormat/>
    <w:uiPriority w:val="99"/>
    <w:rPr>
      <w:kern w:val="0"/>
      <w:sz w:val="22"/>
      <w:szCs w:val="22"/>
      <w:lang w:eastAsia="en-US"/>
    </w:rPr>
  </w:style>
  <w:style w:type="character" w:customStyle="1" w:styleId="19">
    <w:name w:val="批注主题 字符"/>
    <w:basedOn w:val="18"/>
    <w:link w:val="7"/>
    <w:semiHidden/>
    <w:qFormat/>
    <w:uiPriority w:val="99"/>
    <w:rPr>
      <w:b/>
      <w:bCs/>
      <w:kern w:val="0"/>
      <w:sz w:val="22"/>
      <w:szCs w:val="22"/>
      <w:lang w:eastAsia="en-US"/>
    </w:rPr>
  </w:style>
  <w:style w:type="character" w:customStyle="1" w:styleId="20">
    <w:name w:val="批注框文本 字符"/>
    <w:basedOn w:val="9"/>
    <w:link w:val="4"/>
    <w:semiHidden/>
    <w:qFormat/>
    <w:uiPriority w:val="99"/>
    <w:rPr>
      <w:rFonts w:ascii="宋体" w:eastAsia="宋体"/>
      <w:kern w:val="0"/>
      <w:sz w:val="18"/>
      <w:szCs w:val="18"/>
      <w:lang w:eastAsia="en-US"/>
    </w:rPr>
  </w:style>
  <w:style w:type="character" w:customStyle="1" w:styleId="21">
    <w:name w:val="font71"/>
    <w:basedOn w:val="9"/>
    <w:qFormat/>
    <w:uiPriority w:val="0"/>
    <w:rPr>
      <w:rFonts w:hint="default" w:ascii="仿宋_GB2312" w:eastAsia="仿宋_GB2312" w:cs="仿宋_GB2312"/>
      <w:color w:val="000000"/>
      <w:sz w:val="21"/>
      <w:szCs w:val="21"/>
      <w:u w:val="none"/>
    </w:rPr>
  </w:style>
  <w:style w:type="paragraph" w:customStyle="1" w:styleId="22">
    <w:name w:val="修订1"/>
    <w:hidden/>
    <w:semiHidden/>
    <w:qFormat/>
    <w:uiPriority w:val="99"/>
    <w:rPr>
      <w:rFonts w:asciiTheme="minorHAnsi" w:hAnsiTheme="minorHAnsi" w:eastAsiaTheme="minorEastAsia" w:cstheme="minorBidi"/>
      <w:sz w:val="22"/>
      <w:szCs w:val="22"/>
      <w:lang w:val="en-US" w:eastAsia="en-US" w:bidi="ar-SA"/>
    </w:rPr>
  </w:style>
  <w:style w:type="paragraph" w:customStyle="1" w:styleId="23">
    <w:name w:val="Revision"/>
    <w:hidden/>
    <w:unhideWhenUsed/>
    <w:qFormat/>
    <w:uiPriority w:val="99"/>
    <w:rPr>
      <w:rFonts w:asciiTheme="minorHAnsi" w:hAnsiTheme="minorHAnsi"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10760</Words>
  <Characters>10889</Characters>
  <Lines>86</Lines>
  <Paragraphs>24</Paragraphs>
  <TotalTime>2</TotalTime>
  <ScaleCrop>false</ScaleCrop>
  <LinksUpToDate>false</LinksUpToDate>
  <CharactersWithSpaces>11567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2025-05-22T04:04:00Z</dcterms:created>
  <dc:creator>Vince W</dc:creator>
  <cp:lastModifiedBy>zh.zhang</cp:lastModifiedBy>
  <cp:lastPrinted>2019-06-18T22:31:00Z</cp:lastPrinted>
  <dcterms:modified xsi:type="dcterms:W3CDTF">2025-06-19T06:06:07Z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AA93A015510E44018D25B245DEDF6ABF_13</vt:lpwstr>
  </property>
  <property fmtid="{D5CDD505-2E9C-101B-9397-08002B2CF9AE}" pid="4" name="KSOTemplateDocerSaveRecord">
    <vt:lpwstr>eyJoZGlkIjoiNGY2Mzk2NWY2OTUwMDViZTNlYjBjODRhZjcyMzA4MTciLCJ1c2VySWQiOiI0Mjk5NjQyMzcifQ==</vt:lpwstr>
  </property>
</Properties>
</file>